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1D9" w:rsidRDefault="00CE11D9" w:rsidP="00CE11D9">
      <w:pPr>
        <w:pStyle w:val="1"/>
        <w:spacing w:before="0" w:beforeAutospacing="0" w:after="0" w:afterAutospacing="0"/>
        <w:rPr>
          <w:rFonts w:ascii="メイリオ" w:eastAsia="メイリオ" w:hAnsi="メイリオ"/>
          <w:color w:val="333333"/>
          <w:sz w:val="36"/>
          <w:szCs w:val="36"/>
        </w:rPr>
      </w:pPr>
      <w:r>
        <w:rPr>
          <w:rFonts w:ascii="メイリオ" w:eastAsia="メイリオ" w:hAnsi="メイリオ" w:hint="eastAsia"/>
          <w:color w:val="333333"/>
          <w:sz w:val="36"/>
          <w:szCs w:val="36"/>
        </w:rPr>
        <w:t>高速波長走査型Tunable VCSEL（型式：HSL-1）</w:t>
      </w:r>
    </w:p>
    <w:p w:rsidR="00D21D52" w:rsidRPr="00D21D52" w:rsidRDefault="00CE11D9" w:rsidP="00CE11D9">
      <w:pPr>
        <w:pStyle w:val="1"/>
        <w:spacing w:before="0" w:beforeAutospacing="0" w:after="0" w:afterAutospacing="0"/>
        <w:rPr>
          <w:rFonts w:ascii="メイリオ" w:eastAsia="メイリオ" w:hAnsi="メイリオ"/>
          <w:color w:val="333333"/>
          <w:sz w:val="36"/>
          <w:szCs w:val="36"/>
        </w:rPr>
      </w:pPr>
      <w:r>
        <w:rPr>
          <w:rFonts w:ascii="メイリオ" w:eastAsia="メイリオ" w:hAnsi="メイリオ" w:hint="eastAsia"/>
          <w:color w:val="333333"/>
          <w:sz w:val="36"/>
          <w:szCs w:val="36"/>
        </w:rPr>
        <w:t>高速化の発表</w:t>
      </w:r>
    </w:p>
    <w:p w:rsidR="00D21D52" w:rsidRPr="00D21D52" w:rsidRDefault="00D21D52" w:rsidP="00D21D52">
      <w:pPr>
        <w:widowControl/>
        <w:spacing w:after="240"/>
        <w:jc w:val="left"/>
        <w:rPr>
          <w:rFonts w:ascii="メイリオ" w:eastAsia="メイリオ" w:hAnsi="メイリオ" w:cs="ＭＳ Ｐゴシック"/>
          <w:color w:val="333333"/>
          <w:kern w:val="0"/>
          <w:sz w:val="18"/>
          <w:szCs w:val="18"/>
        </w:rPr>
      </w:pPr>
      <w:r w:rsidRPr="00D21D52">
        <w:rPr>
          <w:rFonts w:ascii="メイリオ" w:eastAsia="メイリオ" w:hAnsi="メイリオ" w:cs="ＭＳ Ｐゴシック"/>
          <w:noProof/>
          <w:color w:val="333333"/>
          <w:kern w:val="0"/>
          <w:sz w:val="18"/>
          <w:szCs w:val="18"/>
        </w:rPr>
        <w:drawing>
          <wp:inline distT="0" distB="0" distL="0" distR="0">
            <wp:extent cx="762000" cy="171450"/>
            <wp:effectExtent l="0" t="0" r="0" b="0"/>
            <wp:docPr id="2" name="図 2" descr="contact">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act">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71450"/>
                    </a:xfrm>
                    <a:prstGeom prst="rect">
                      <a:avLst/>
                    </a:prstGeom>
                    <a:noFill/>
                    <a:ln>
                      <a:noFill/>
                    </a:ln>
                  </pic:spPr>
                </pic:pic>
              </a:graphicData>
            </a:graphic>
          </wp:inline>
        </w:drawing>
      </w:r>
    </w:p>
    <w:p w:rsidR="00D21D52" w:rsidRPr="00D21D52" w:rsidRDefault="00D21D52" w:rsidP="00D21D52">
      <w:pPr>
        <w:widowControl/>
        <w:spacing w:after="240"/>
        <w:jc w:val="left"/>
        <w:rPr>
          <w:rFonts w:ascii="メイリオ" w:eastAsia="メイリオ" w:hAnsi="メイリオ" w:cs="ＭＳ Ｐゴシック"/>
          <w:color w:val="333333"/>
          <w:kern w:val="0"/>
          <w:sz w:val="18"/>
          <w:szCs w:val="18"/>
        </w:rPr>
      </w:pPr>
      <w:r w:rsidRPr="00D21D52">
        <w:rPr>
          <w:rFonts w:ascii="メイリオ" w:eastAsia="メイリオ" w:hAnsi="メイリオ" w:cs="ＭＳ Ｐゴシック" w:hint="eastAsia"/>
          <w:color w:val="333333"/>
          <w:kern w:val="0"/>
          <w:sz w:val="18"/>
          <w:szCs w:val="18"/>
        </w:rPr>
        <w:t> </w:t>
      </w:r>
    </w:p>
    <w:p w:rsidR="003E0ED1" w:rsidRDefault="003E0ED1" w:rsidP="003E0ED1">
      <w:pPr>
        <w:autoSpaceDE w:val="0"/>
        <w:autoSpaceDN w:val="0"/>
        <w:adjustRightInd w:val="0"/>
        <w:spacing w:after="240"/>
        <w:jc w:val="left"/>
        <w:rPr>
          <w:rFonts w:ascii="ＭＳ ゴシック" w:eastAsia="ＭＳ ゴシック" w:cs="ＭＳ ゴシック"/>
          <w:color w:val="2F2F2F"/>
          <w:kern w:val="0"/>
          <w:sz w:val="18"/>
          <w:szCs w:val="18"/>
        </w:rPr>
      </w:pPr>
      <w:r>
        <w:rPr>
          <w:rFonts w:ascii="ＭＳ ゴシック" w:eastAsia="ＭＳ ゴシック" w:cs="ＭＳ ゴシック" w:hint="eastAsia"/>
          <w:color w:val="2F2F2F"/>
          <w:kern w:val="0"/>
          <w:sz w:val="18"/>
          <w:szCs w:val="18"/>
        </w:rPr>
        <w:t>次世代</w:t>
      </w:r>
      <w:r>
        <w:rPr>
          <w:rFonts w:ascii="ＭＳ ゴシック" w:eastAsia="ＭＳ ゴシック" w:cs="ＭＳ ゴシック"/>
          <w:color w:val="2F2F2F"/>
          <w:kern w:val="0"/>
          <w:sz w:val="18"/>
          <w:szCs w:val="18"/>
        </w:rPr>
        <w:t>SS-OCT</w:t>
      </w:r>
      <w:r>
        <w:rPr>
          <w:rFonts w:ascii="ＭＳ ゴシック" w:eastAsia="ＭＳ ゴシック" w:cs="ＭＳ ゴシック" w:hint="eastAsia"/>
          <w:color w:val="2F2F2F"/>
          <w:kern w:val="0"/>
          <w:sz w:val="18"/>
          <w:szCs w:val="18"/>
        </w:rPr>
        <w:t>（</w:t>
      </w:r>
      <w:r>
        <w:rPr>
          <w:rFonts w:ascii="ＭＳ ゴシック" w:eastAsia="ＭＳ ゴシック" w:cs="ＭＳ ゴシック"/>
          <w:color w:val="2F2F2F"/>
          <w:kern w:val="0"/>
          <w:sz w:val="18"/>
          <w:szCs w:val="18"/>
        </w:rPr>
        <w:t>Swept Source Optical Coherence Tomography</w:t>
      </w:r>
      <w:r>
        <w:rPr>
          <w:rFonts w:ascii="ＭＳ ゴシック" w:eastAsia="ＭＳ ゴシック" w:cs="ＭＳ ゴシック" w:hint="eastAsia"/>
          <w:color w:val="2F2F2F"/>
          <w:kern w:val="0"/>
          <w:sz w:val="18"/>
          <w:szCs w:val="18"/>
        </w:rPr>
        <w:t>）用の光源として開発を進めてまいりました、高速波長走査型の</w:t>
      </w:r>
      <w:r>
        <w:rPr>
          <w:rFonts w:ascii="ＭＳ ゴシック" w:eastAsia="ＭＳ ゴシック" w:cs="ＭＳ ゴシック"/>
          <w:color w:val="2F2F2F"/>
          <w:kern w:val="0"/>
          <w:sz w:val="18"/>
          <w:szCs w:val="18"/>
        </w:rPr>
        <w:t>Tunable VCSEL</w:t>
      </w:r>
      <w:r>
        <w:rPr>
          <w:rFonts w:ascii="ＭＳ ゴシック" w:eastAsia="ＭＳ ゴシック" w:cs="ＭＳ ゴシック" w:hint="eastAsia"/>
          <w:color w:val="2F2F2F"/>
          <w:kern w:val="0"/>
          <w:sz w:val="18"/>
          <w:szCs w:val="18"/>
        </w:rPr>
        <w:t>（</w:t>
      </w:r>
      <w:r>
        <w:rPr>
          <w:rFonts w:ascii="ＭＳ ゴシック" w:eastAsia="ＭＳ ゴシック" w:cs="ＭＳ ゴシック"/>
          <w:color w:val="2F2F2F"/>
          <w:kern w:val="0"/>
          <w:sz w:val="18"/>
          <w:szCs w:val="18"/>
        </w:rPr>
        <w:t>Vertical Cavity Surface Emitting Laser</w:t>
      </w:r>
      <w:r>
        <w:rPr>
          <w:rFonts w:ascii="ＭＳ ゴシック" w:eastAsia="ＭＳ ゴシック" w:cs="ＭＳ ゴシック" w:hint="eastAsia"/>
          <w:color w:val="2F2F2F"/>
          <w:kern w:val="0"/>
          <w:sz w:val="18"/>
          <w:szCs w:val="18"/>
        </w:rPr>
        <w:t>）の最大スキャン周波数に関して、当社従来比で</w:t>
      </w:r>
      <w:r>
        <w:rPr>
          <w:rFonts w:ascii="ＭＳ ゴシック" w:eastAsia="ＭＳ ゴシック" w:cs="ＭＳ ゴシック"/>
          <w:color w:val="2F2F2F"/>
          <w:kern w:val="0"/>
          <w:sz w:val="18"/>
          <w:szCs w:val="18"/>
        </w:rPr>
        <w:t>2</w:t>
      </w:r>
      <w:r>
        <w:rPr>
          <w:rFonts w:ascii="ＭＳ ゴシック" w:eastAsia="ＭＳ ゴシック" w:cs="ＭＳ ゴシック" w:hint="eastAsia"/>
          <w:color w:val="2F2F2F"/>
          <w:kern w:val="0"/>
          <w:sz w:val="18"/>
          <w:szCs w:val="18"/>
        </w:rPr>
        <w:t>倍の</w:t>
      </w:r>
      <w:r>
        <w:rPr>
          <w:rFonts w:ascii="ＭＳ ゴシック" w:eastAsia="ＭＳ ゴシック" w:cs="ＭＳ ゴシック"/>
          <w:color w:val="2F2F2F"/>
          <w:kern w:val="0"/>
          <w:sz w:val="18"/>
          <w:szCs w:val="18"/>
        </w:rPr>
        <w:t>400kHz</w:t>
      </w:r>
      <w:r>
        <w:rPr>
          <w:rFonts w:ascii="ＭＳ ゴシック" w:eastAsia="ＭＳ ゴシック" w:cs="ＭＳ ゴシック" w:hint="eastAsia"/>
          <w:color w:val="2F2F2F"/>
          <w:kern w:val="0"/>
          <w:sz w:val="18"/>
          <w:szCs w:val="18"/>
        </w:rPr>
        <w:t>へ特性を改善いたしました。高速波長走</w:t>
      </w:r>
      <w:bookmarkStart w:id="0" w:name="_GoBack"/>
      <w:bookmarkEnd w:id="0"/>
      <w:r>
        <w:rPr>
          <w:rFonts w:ascii="ＭＳ ゴシック" w:eastAsia="ＭＳ ゴシック" w:cs="ＭＳ ゴシック" w:hint="eastAsia"/>
          <w:color w:val="2F2F2F"/>
          <w:kern w:val="0"/>
          <w:sz w:val="18"/>
          <w:szCs w:val="18"/>
        </w:rPr>
        <w:t>査型の</w:t>
      </w:r>
      <w:r>
        <w:rPr>
          <w:rFonts w:ascii="ＭＳ ゴシック" w:eastAsia="ＭＳ ゴシック" w:cs="ＭＳ ゴシック"/>
          <w:color w:val="2F2F2F"/>
          <w:kern w:val="0"/>
          <w:sz w:val="18"/>
          <w:szCs w:val="18"/>
        </w:rPr>
        <w:t>Tunable VCSEL</w:t>
      </w:r>
      <w:r>
        <w:rPr>
          <w:rFonts w:ascii="ＭＳ ゴシック" w:eastAsia="ＭＳ ゴシック" w:cs="ＭＳ ゴシック" w:hint="eastAsia"/>
          <w:color w:val="2F2F2F"/>
          <w:kern w:val="0"/>
          <w:sz w:val="18"/>
          <w:szCs w:val="18"/>
        </w:rPr>
        <w:t>はかねてより次世代</w:t>
      </w:r>
      <w:r>
        <w:rPr>
          <w:rFonts w:ascii="ＭＳ ゴシック" w:eastAsia="ＭＳ ゴシック" w:cs="ＭＳ ゴシック"/>
          <w:color w:val="2F2F2F"/>
          <w:kern w:val="0"/>
          <w:sz w:val="18"/>
          <w:szCs w:val="18"/>
        </w:rPr>
        <w:t>SS-OCT</w:t>
      </w:r>
      <w:r>
        <w:rPr>
          <w:rFonts w:ascii="ＭＳ ゴシック" w:eastAsia="ＭＳ ゴシック" w:cs="ＭＳ ゴシック" w:hint="eastAsia"/>
          <w:color w:val="2F2F2F"/>
          <w:kern w:val="0"/>
          <w:sz w:val="18"/>
          <w:szCs w:val="18"/>
        </w:rPr>
        <w:t>用、及び</w:t>
      </w:r>
      <w:r w:rsidR="00616788">
        <w:rPr>
          <w:rFonts w:ascii="ＭＳ ゴシック" w:eastAsia="ＭＳ ゴシック" w:cs="ＭＳ ゴシック"/>
          <w:color w:val="2F2F2F"/>
          <w:kern w:val="0"/>
          <w:sz w:val="18"/>
          <w:szCs w:val="18"/>
        </w:rPr>
        <w:t>FMC</w:t>
      </w:r>
      <w:r>
        <w:rPr>
          <w:rFonts w:ascii="ＭＳ ゴシック" w:eastAsia="ＭＳ ゴシック" w:cs="ＭＳ ゴシック"/>
          <w:color w:val="2F2F2F"/>
          <w:kern w:val="0"/>
          <w:sz w:val="18"/>
          <w:szCs w:val="18"/>
        </w:rPr>
        <w:t>W LiDAR</w:t>
      </w:r>
      <w:r>
        <w:rPr>
          <w:rFonts w:ascii="ＭＳ ゴシック" w:eastAsia="ＭＳ ゴシック" w:cs="ＭＳ ゴシック" w:hint="eastAsia"/>
          <w:color w:val="2F2F2F"/>
          <w:kern w:val="0"/>
          <w:sz w:val="18"/>
          <w:szCs w:val="18"/>
        </w:rPr>
        <w:t>用光源として期待されておりましたが、一部の医療・産業用機器応用では</w:t>
      </w:r>
      <w:r>
        <w:rPr>
          <w:rFonts w:ascii="ＭＳ ゴシック" w:eastAsia="ＭＳ ゴシック" w:cs="ＭＳ ゴシック"/>
          <w:color w:val="2F2F2F"/>
          <w:kern w:val="0"/>
          <w:sz w:val="18"/>
          <w:szCs w:val="18"/>
        </w:rPr>
        <w:t>400kHz</w:t>
      </w:r>
      <w:r>
        <w:rPr>
          <w:rFonts w:ascii="ＭＳ ゴシック" w:eastAsia="ＭＳ ゴシック" w:cs="ＭＳ ゴシック" w:hint="eastAsia"/>
          <w:color w:val="2F2F2F"/>
          <w:kern w:val="0"/>
          <w:sz w:val="18"/>
          <w:szCs w:val="18"/>
        </w:rPr>
        <w:t>以上という、より高いスキャン周波数を要求されておりました。今回、波長走査を実現する光</w:t>
      </w:r>
      <w:r>
        <w:rPr>
          <w:rFonts w:ascii="ＭＳ ゴシック" w:eastAsia="ＭＳ ゴシック" w:cs="ＭＳ ゴシック"/>
          <w:color w:val="2F2F2F"/>
          <w:kern w:val="0"/>
          <w:sz w:val="18"/>
          <w:szCs w:val="18"/>
        </w:rPr>
        <w:t>MEMS</w:t>
      </w:r>
      <w:r>
        <w:rPr>
          <w:rFonts w:ascii="ＭＳ ゴシック" w:eastAsia="ＭＳ ゴシック" w:cs="ＭＳ ゴシック" w:hint="eastAsia"/>
          <w:color w:val="2F2F2F"/>
          <w:kern w:val="0"/>
          <w:sz w:val="18"/>
          <w:szCs w:val="18"/>
        </w:rPr>
        <w:t>（</w:t>
      </w:r>
      <w:r>
        <w:rPr>
          <w:rFonts w:ascii="ＭＳ ゴシック" w:eastAsia="ＭＳ ゴシック" w:cs="ＭＳ ゴシック"/>
          <w:color w:val="2F2F2F"/>
          <w:kern w:val="0"/>
          <w:sz w:val="18"/>
          <w:szCs w:val="18"/>
        </w:rPr>
        <w:t>Micro Electro Mechanical Systems</w:t>
      </w:r>
      <w:r>
        <w:rPr>
          <w:rFonts w:ascii="ＭＳ ゴシック" w:eastAsia="ＭＳ ゴシック" w:cs="ＭＳ ゴシック" w:hint="eastAsia"/>
          <w:color w:val="2F2F2F"/>
          <w:kern w:val="0"/>
          <w:sz w:val="18"/>
          <w:szCs w:val="18"/>
        </w:rPr>
        <w:t>）の設計を大幅に見直す事で、従来のスキャン周波数を自由に選択できる特性は維持したまま、最大周波数を</w:t>
      </w:r>
      <w:r>
        <w:rPr>
          <w:rFonts w:ascii="ＭＳ ゴシック" w:eastAsia="ＭＳ ゴシック" w:cs="ＭＳ ゴシック"/>
          <w:color w:val="2F2F2F"/>
          <w:kern w:val="0"/>
          <w:sz w:val="18"/>
          <w:szCs w:val="18"/>
        </w:rPr>
        <w:t>400kHz</w:t>
      </w:r>
      <w:r>
        <w:rPr>
          <w:rFonts w:ascii="ＭＳ ゴシック" w:eastAsia="ＭＳ ゴシック" w:cs="ＭＳ ゴシック" w:hint="eastAsia"/>
          <w:color w:val="2F2F2F"/>
          <w:kern w:val="0"/>
          <w:sz w:val="18"/>
          <w:szCs w:val="18"/>
        </w:rPr>
        <w:t>まで高速化する事に成功いたしました。</w:t>
      </w:r>
    </w:p>
    <w:p w:rsidR="003E0ED1" w:rsidRDefault="003E0ED1" w:rsidP="003E0ED1">
      <w:pPr>
        <w:rPr>
          <w:rFonts w:ascii="ＭＳ ゴシック" w:eastAsia="ＭＳ ゴシック" w:cs="ＭＳ ゴシック"/>
          <w:color w:val="2F2F2F"/>
          <w:kern w:val="0"/>
          <w:sz w:val="18"/>
          <w:szCs w:val="18"/>
        </w:rPr>
      </w:pPr>
      <w:r>
        <w:rPr>
          <w:rFonts w:ascii="ＭＳ ゴシック" w:eastAsia="ＭＳ ゴシック" w:cs="ＭＳ ゴシック" w:hint="eastAsia"/>
          <w:color w:val="2F2F2F"/>
          <w:kern w:val="0"/>
          <w:sz w:val="18"/>
          <w:szCs w:val="18"/>
        </w:rPr>
        <w:t>尚、本製品は、</w:t>
      </w:r>
      <w:r>
        <w:rPr>
          <w:rFonts w:ascii="ＭＳ ゴシック" w:eastAsia="ＭＳ ゴシック" w:cs="ＭＳ ゴシック"/>
          <w:color w:val="2F2F2F"/>
          <w:kern w:val="0"/>
          <w:sz w:val="18"/>
          <w:szCs w:val="18"/>
        </w:rPr>
        <w:t>2020</w:t>
      </w:r>
      <w:r>
        <w:rPr>
          <w:rFonts w:ascii="ＭＳ ゴシック" w:eastAsia="ＭＳ ゴシック" w:cs="ＭＳ ゴシック" w:hint="eastAsia"/>
          <w:color w:val="2F2F2F"/>
          <w:kern w:val="0"/>
          <w:sz w:val="18"/>
          <w:szCs w:val="18"/>
        </w:rPr>
        <w:t>年</w:t>
      </w:r>
      <w:r>
        <w:rPr>
          <w:rFonts w:ascii="ＭＳ ゴシック" w:eastAsia="ＭＳ ゴシック" w:cs="ＭＳ ゴシック"/>
          <w:color w:val="2F2F2F"/>
          <w:kern w:val="0"/>
          <w:sz w:val="18"/>
          <w:szCs w:val="18"/>
        </w:rPr>
        <w:t>2</w:t>
      </w:r>
      <w:r>
        <w:rPr>
          <w:rFonts w:ascii="ＭＳ ゴシック" w:eastAsia="ＭＳ ゴシック" w:cs="ＭＳ ゴシック" w:hint="eastAsia"/>
          <w:color w:val="2F2F2F"/>
          <w:kern w:val="0"/>
          <w:sz w:val="18"/>
          <w:szCs w:val="18"/>
        </w:rPr>
        <w:t>月</w:t>
      </w:r>
      <w:r>
        <w:rPr>
          <w:rFonts w:ascii="ＭＳ ゴシック" w:eastAsia="ＭＳ ゴシック" w:cs="ＭＳ ゴシック"/>
          <w:color w:val="2F2F2F"/>
          <w:kern w:val="0"/>
          <w:sz w:val="18"/>
          <w:szCs w:val="18"/>
        </w:rPr>
        <w:t>1</w:t>
      </w:r>
      <w:r>
        <w:rPr>
          <w:rFonts w:ascii="ＭＳ ゴシック" w:eastAsia="ＭＳ ゴシック" w:cs="ＭＳ ゴシック" w:hint="eastAsia"/>
          <w:color w:val="2F2F2F"/>
          <w:kern w:val="0"/>
          <w:sz w:val="18"/>
          <w:szCs w:val="18"/>
        </w:rPr>
        <w:t>日から米国・サンフランシスコで開催される</w:t>
      </w:r>
      <w:r>
        <w:rPr>
          <w:rFonts w:ascii="ＭＳ ゴシック" w:eastAsia="ＭＳ ゴシック" w:cs="ＭＳ ゴシック"/>
          <w:color w:val="2F2F2F"/>
          <w:kern w:val="0"/>
          <w:sz w:val="18"/>
          <w:szCs w:val="18"/>
        </w:rPr>
        <w:t>BiOS/Photonics West 2</w:t>
      </w:r>
      <w:r w:rsidR="00D55A8A" w:rsidRPr="00D55A8A">
        <w:rPr>
          <w:rFonts w:asciiTheme="majorEastAsia" w:eastAsiaTheme="majorEastAsia" w:hAnsiTheme="majorEastAsia" w:cs="Times New Roman"/>
          <w:color w:val="2F2F2F"/>
          <w:kern w:val="0"/>
          <w:sz w:val="18"/>
          <w:szCs w:val="18"/>
        </w:rPr>
        <w:t>0</w:t>
      </w:r>
      <w:r>
        <w:rPr>
          <w:rFonts w:ascii="ＭＳ ゴシック" w:eastAsia="ＭＳ ゴシック" w:cs="ＭＳ ゴシック"/>
          <w:color w:val="2F2F2F"/>
          <w:kern w:val="0"/>
          <w:sz w:val="18"/>
          <w:szCs w:val="18"/>
        </w:rPr>
        <w:t>20</w:t>
      </w:r>
      <w:r>
        <w:rPr>
          <w:rFonts w:ascii="ＭＳ ゴシック" w:eastAsia="ＭＳ ゴシック" w:cs="ＭＳ ゴシック" w:hint="eastAsia"/>
          <w:color w:val="2F2F2F"/>
          <w:kern w:val="0"/>
          <w:sz w:val="18"/>
          <w:szCs w:val="18"/>
        </w:rPr>
        <w:t>、当社ブース番号</w:t>
      </w:r>
      <w:r>
        <w:rPr>
          <w:rFonts w:ascii="ＭＳ ゴシック" w:eastAsia="ＭＳ ゴシック" w:cs="ＭＳ ゴシック"/>
          <w:color w:val="2F2F2F"/>
          <w:kern w:val="0"/>
          <w:sz w:val="18"/>
          <w:szCs w:val="18"/>
        </w:rPr>
        <w:t>#8762</w:t>
      </w:r>
      <w:r>
        <w:rPr>
          <w:rFonts w:ascii="ＭＳ ゴシック" w:eastAsia="ＭＳ ゴシック" w:cs="ＭＳ ゴシック" w:hint="eastAsia"/>
          <w:color w:val="2F2F2F"/>
          <w:kern w:val="0"/>
          <w:sz w:val="18"/>
          <w:szCs w:val="18"/>
        </w:rPr>
        <w:t>に出展されます。</w:t>
      </w:r>
    </w:p>
    <w:p w:rsidR="003E0ED1" w:rsidRDefault="003E0ED1" w:rsidP="003E0ED1"/>
    <w:p w:rsidR="00D21D52" w:rsidRPr="00D21D52" w:rsidRDefault="00D21D52" w:rsidP="00D21D52">
      <w:pPr>
        <w:widowControl/>
        <w:spacing w:after="240"/>
        <w:jc w:val="left"/>
        <w:rPr>
          <w:rFonts w:ascii="メイリオ" w:eastAsia="メイリオ" w:hAnsi="メイリオ" w:cs="ＭＳ Ｐゴシック"/>
          <w:color w:val="333333"/>
          <w:kern w:val="0"/>
          <w:sz w:val="18"/>
          <w:szCs w:val="18"/>
        </w:rPr>
      </w:pPr>
      <w:r w:rsidRPr="00D21D52">
        <w:rPr>
          <w:rFonts w:ascii="メイリオ" w:eastAsia="メイリオ" w:hAnsi="メイリオ" w:cs="ＭＳ Ｐゴシック" w:hint="eastAsia"/>
          <w:b/>
          <w:bCs/>
          <w:color w:val="333333"/>
          <w:kern w:val="0"/>
          <w:sz w:val="18"/>
          <w:szCs w:val="18"/>
        </w:rPr>
        <w:t>製品名：   </w:t>
      </w:r>
      <w:r>
        <w:rPr>
          <w:rStyle w:val="a3"/>
          <w:rFonts w:ascii="メイリオ" w:eastAsia="メイリオ" w:hAnsi="メイリオ" w:hint="eastAsia"/>
          <w:color w:val="333333"/>
          <w:sz w:val="18"/>
          <w:szCs w:val="18"/>
        </w:rPr>
        <w:t>高速波長走査型レーザ</w:t>
      </w:r>
      <w:r w:rsidRPr="00D21D52">
        <w:rPr>
          <w:rFonts w:ascii="メイリオ" w:eastAsia="メイリオ" w:hAnsi="メイリオ" w:cs="ＭＳ Ｐゴシック" w:hint="eastAsia"/>
          <w:b/>
          <w:bCs/>
          <w:color w:val="333333"/>
          <w:kern w:val="0"/>
          <w:sz w:val="18"/>
          <w:szCs w:val="18"/>
        </w:rPr>
        <w:br/>
        <w:t xml:space="preserve">製品型式： </w:t>
      </w:r>
      <w:r>
        <w:rPr>
          <w:rFonts w:ascii="メイリオ" w:eastAsia="メイリオ" w:hAnsi="メイリオ" w:cs="ＭＳ Ｐゴシック"/>
          <w:b/>
          <w:bCs/>
          <w:color w:val="333333"/>
          <w:kern w:val="0"/>
          <w:sz w:val="18"/>
          <w:szCs w:val="18"/>
        </w:rPr>
        <w:t>HSL-1</w:t>
      </w:r>
    </w:p>
    <w:p w:rsidR="00CE11D9" w:rsidRDefault="00CE11D9" w:rsidP="00CE11D9">
      <w:pPr>
        <w:widowControl/>
        <w:spacing w:after="240"/>
        <w:jc w:val="center"/>
        <w:rPr>
          <w:rFonts w:ascii="メイリオ" w:eastAsia="メイリオ" w:hAnsi="メイリオ" w:cs="ＭＳ Ｐゴシック"/>
          <w:color w:val="333333"/>
          <w:kern w:val="0"/>
          <w:sz w:val="18"/>
          <w:szCs w:val="18"/>
        </w:rPr>
      </w:pPr>
      <w:r w:rsidRPr="00CE11D9">
        <w:rPr>
          <w:rFonts w:ascii="メイリオ" w:eastAsia="メイリオ" w:hAnsi="メイリオ" w:cs="ＭＳ Ｐゴシック"/>
          <w:noProof/>
          <w:color w:val="333333"/>
          <w:kern w:val="0"/>
          <w:sz w:val="18"/>
          <w:szCs w:val="18"/>
        </w:rPr>
        <w:drawing>
          <wp:inline distT="0" distB="0" distL="0" distR="0">
            <wp:extent cx="3238500" cy="2286000"/>
            <wp:effectExtent l="0" t="0" r="0" b="0"/>
            <wp:docPr id="3" name="図 3" descr="https://www.santec.com/en/wp-content/uploads/HSL-1_340x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antec.com/en/wp-content/uploads/HSL-1_340x24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0" cy="2286000"/>
                    </a:xfrm>
                    <a:prstGeom prst="rect">
                      <a:avLst/>
                    </a:prstGeom>
                    <a:noFill/>
                    <a:ln>
                      <a:noFill/>
                    </a:ln>
                  </pic:spPr>
                </pic:pic>
              </a:graphicData>
            </a:graphic>
          </wp:inline>
        </w:drawing>
      </w:r>
    </w:p>
    <w:p w:rsidR="00CE11D9" w:rsidRPr="00CE11D9" w:rsidRDefault="00CE11D9" w:rsidP="00CE11D9">
      <w:pPr>
        <w:widowControl/>
        <w:spacing w:after="240"/>
        <w:jc w:val="center"/>
        <w:rPr>
          <w:rFonts w:ascii="メイリオ" w:eastAsia="メイリオ" w:hAnsi="メイリオ" w:cs="ＭＳ Ｐゴシック"/>
          <w:color w:val="333333"/>
          <w:kern w:val="0"/>
          <w:sz w:val="18"/>
          <w:szCs w:val="18"/>
        </w:rPr>
      </w:pPr>
      <w:r w:rsidRPr="00CE11D9">
        <w:rPr>
          <w:rFonts w:ascii="メイリオ" w:eastAsia="メイリオ" w:hAnsi="メイリオ" w:cs="ＭＳ Ｐゴシック" w:hint="eastAsia"/>
          <w:color w:val="333333"/>
          <w:kern w:val="0"/>
          <w:sz w:val="18"/>
          <w:szCs w:val="18"/>
        </w:rPr>
        <w:t>高速波長走査型レーザ[HSL-1]</w:t>
      </w:r>
    </w:p>
    <w:p w:rsidR="00CE11D9" w:rsidRPr="00CE11D9" w:rsidRDefault="00CE11D9" w:rsidP="00CE11D9">
      <w:pPr>
        <w:widowControl/>
        <w:spacing w:after="240"/>
        <w:jc w:val="left"/>
        <w:rPr>
          <w:rFonts w:ascii="メイリオ" w:eastAsia="メイリオ" w:hAnsi="メイリオ" w:cs="ＭＳ Ｐゴシック"/>
          <w:color w:val="333333"/>
          <w:kern w:val="0"/>
          <w:sz w:val="18"/>
          <w:szCs w:val="18"/>
        </w:rPr>
      </w:pPr>
      <w:r w:rsidRPr="00CE11D9">
        <w:rPr>
          <w:rFonts w:ascii="メイリオ" w:eastAsia="メイリオ" w:hAnsi="メイリオ" w:cs="ＭＳ Ｐゴシック" w:hint="eastAsia"/>
          <w:b/>
          <w:bCs/>
          <w:color w:val="333333"/>
          <w:kern w:val="0"/>
          <w:sz w:val="18"/>
          <w:szCs w:val="18"/>
        </w:rPr>
        <w:t>受注開始</w:t>
      </w:r>
      <w:r>
        <w:rPr>
          <w:rFonts w:ascii="メイリオ" w:eastAsia="メイリオ" w:hAnsi="メイリオ" w:cs="ＭＳ Ｐゴシック" w:hint="eastAsia"/>
          <w:b/>
          <w:bCs/>
          <w:color w:val="333333"/>
          <w:kern w:val="0"/>
          <w:sz w:val="18"/>
          <w:szCs w:val="18"/>
        </w:rPr>
        <w:t>予定</w:t>
      </w:r>
      <w:r w:rsidRPr="00CE11D9">
        <w:rPr>
          <w:rFonts w:ascii="メイリオ" w:eastAsia="メイリオ" w:hAnsi="メイリオ" w:cs="ＭＳ Ｐゴシック" w:hint="eastAsia"/>
          <w:b/>
          <w:bCs/>
          <w:color w:val="333333"/>
          <w:kern w:val="0"/>
          <w:sz w:val="18"/>
          <w:szCs w:val="18"/>
        </w:rPr>
        <w:t xml:space="preserve">日:　</w:t>
      </w:r>
      <w:r>
        <w:rPr>
          <w:rFonts w:ascii="メイリオ" w:eastAsia="メイリオ" w:hAnsi="メイリオ" w:cs="ＭＳ Ｐゴシック" w:hint="eastAsia"/>
          <w:color w:val="333333"/>
          <w:kern w:val="0"/>
          <w:sz w:val="18"/>
          <w:szCs w:val="18"/>
        </w:rPr>
        <w:t>2020</w:t>
      </w:r>
      <w:r w:rsidRPr="00CE11D9">
        <w:rPr>
          <w:rFonts w:ascii="メイリオ" w:eastAsia="メイリオ" w:hAnsi="メイリオ" w:cs="ＭＳ Ｐゴシック" w:hint="eastAsia"/>
          <w:color w:val="333333"/>
          <w:kern w:val="0"/>
          <w:sz w:val="18"/>
          <w:szCs w:val="18"/>
        </w:rPr>
        <w:t>年</w:t>
      </w:r>
      <w:r>
        <w:rPr>
          <w:rFonts w:ascii="メイリオ" w:eastAsia="メイリオ" w:hAnsi="メイリオ" w:cs="ＭＳ Ｐゴシック" w:hint="eastAsia"/>
          <w:color w:val="333333"/>
          <w:kern w:val="0"/>
          <w:sz w:val="18"/>
          <w:szCs w:val="18"/>
        </w:rPr>
        <w:t>4</w:t>
      </w:r>
      <w:r w:rsidRPr="00CE11D9">
        <w:rPr>
          <w:rFonts w:ascii="メイリオ" w:eastAsia="メイリオ" w:hAnsi="メイリオ" w:cs="ＭＳ Ｐゴシック" w:hint="eastAsia"/>
          <w:color w:val="333333"/>
          <w:kern w:val="0"/>
          <w:sz w:val="18"/>
          <w:szCs w:val="18"/>
        </w:rPr>
        <w:t>月</w:t>
      </w:r>
      <w:r>
        <w:rPr>
          <w:rFonts w:ascii="メイリオ" w:eastAsia="メイリオ" w:hAnsi="メイリオ" w:cs="ＭＳ Ｐゴシック" w:hint="eastAsia"/>
          <w:color w:val="333333"/>
          <w:kern w:val="0"/>
          <w:sz w:val="18"/>
          <w:szCs w:val="18"/>
        </w:rPr>
        <w:t>1</w:t>
      </w:r>
      <w:r w:rsidRPr="00CE11D9">
        <w:rPr>
          <w:rFonts w:ascii="メイリオ" w:eastAsia="メイリオ" w:hAnsi="メイリオ" w:cs="ＭＳ Ｐゴシック" w:hint="eastAsia"/>
          <w:color w:val="333333"/>
          <w:kern w:val="0"/>
          <w:sz w:val="18"/>
          <w:szCs w:val="18"/>
        </w:rPr>
        <w:t>日</w:t>
      </w:r>
      <w:r w:rsidRPr="00CE11D9">
        <w:rPr>
          <w:rFonts w:ascii="メイリオ" w:eastAsia="メイリオ" w:hAnsi="メイリオ" w:cs="ＭＳ Ｐゴシック" w:hint="eastAsia"/>
          <w:color w:val="333333"/>
          <w:kern w:val="0"/>
          <w:sz w:val="18"/>
          <w:szCs w:val="18"/>
        </w:rPr>
        <w:br/>
      </w:r>
      <w:r w:rsidRPr="00CE11D9">
        <w:rPr>
          <w:rFonts w:ascii="メイリオ" w:eastAsia="メイリオ" w:hAnsi="メイリオ" w:cs="ＭＳ Ｐゴシック" w:hint="eastAsia"/>
          <w:b/>
          <w:bCs/>
          <w:color w:val="333333"/>
          <w:kern w:val="0"/>
          <w:sz w:val="18"/>
          <w:szCs w:val="18"/>
        </w:rPr>
        <w:t xml:space="preserve">製品情報:　</w:t>
      </w:r>
      <w:hyperlink r:id="rId10" w:tgtFrame="_blank" w:history="1">
        <w:r w:rsidRPr="00CE11D9">
          <w:rPr>
            <w:rFonts w:ascii="メイリオ" w:eastAsia="メイリオ" w:hAnsi="メイリオ" w:cs="ＭＳ Ｐゴシック" w:hint="eastAsia"/>
            <w:color w:val="333333"/>
            <w:kern w:val="0"/>
            <w:sz w:val="18"/>
            <w:szCs w:val="18"/>
            <w:u w:val="single"/>
          </w:rPr>
          <w:t>HSL-1カタログ (1MB)</w:t>
        </w:r>
      </w:hyperlink>
    </w:p>
    <w:p w:rsidR="00AF3B1C" w:rsidRDefault="00AF3B1C"/>
    <w:p w:rsidR="00246997" w:rsidRDefault="00246997"/>
    <w:p w:rsidR="00246997" w:rsidRDefault="00246997"/>
    <w:p w:rsidR="00246997" w:rsidRPr="00E15962" w:rsidRDefault="00246997" w:rsidP="00246997">
      <w:pPr>
        <w:spacing w:line="300" w:lineRule="exact"/>
        <w:rPr>
          <w:rFonts w:asciiTheme="minorEastAsia" w:hAnsiTheme="minorEastAsia" w:cs="Times New Roman"/>
          <w:b/>
          <w:bCs/>
          <w:szCs w:val="21"/>
        </w:rPr>
      </w:pPr>
      <w:r w:rsidRPr="00E15962">
        <w:rPr>
          <w:rFonts w:cs="Times New Roman"/>
          <w:b/>
          <w:bCs/>
          <w:szCs w:val="21"/>
        </w:rPr>
        <w:lastRenderedPageBreak/>
        <w:t>santec</w:t>
      </w:r>
      <w:r w:rsidRPr="00E15962">
        <w:rPr>
          <w:rFonts w:asciiTheme="minorEastAsia" w:hAnsiTheme="minorEastAsia" w:cs="Times New Roman"/>
          <w:b/>
          <w:bCs/>
          <w:szCs w:val="21"/>
        </w:rPr>
        <w:t>株式会社について</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793"/>
      </w:tblGrid>
      <w:tr w:rsidR="00246997" w:rsidRPr="001C243D" w:rsidTr="00A32911">
        <w:tc>
          <w:tcPr>
            <w:tcW w:w="1701" w:type="dxa"/>
          </w:tcPr>
          <w:p w:rsidR="00246997" w:rsidRPr="00E15962" w:rsidRDefault="00246997" w:rsidP="00A32911">
            <w:pPr>
              <w:spacing w:line="300" w:lineRule="exact"/>
              <w:rPr>
                <w:rFonts w:asciiTheme="minorEastAsia" w:hAnsiTheme="minorEastAsia" w:cs="Times New Roman"/>
                <w:bCs/>
                <w:szCs w:val="21"/>
              </w:rPr>
            </w:pPr>
            <w:r w:rsidRPr="00E15962">
              <w:rPr>
                <w:rFonts w:asciiTheme="minorEastAsia" w:hAnsiTheme="minorEastAsia" w:cs="Times New Roman" w:hint="eastAsia"/>
                <w:bCs/>
                <w:szCs w:val="21"/>
              </w:rPr>
              <w:t>創業</w:t>
            </w:r>
          </w:p>
        </w:tc>
        <w:tc>
          <w:tcPr>
            <w:tcW w:w="6793" w:type="dxa"/>
          </w:tcPr>
          <w:p w:rsidR="00246997" w:rsidRPr="00E15962" w:rsidRDefault="00246997" w:rsidP="00A32911">
            <w:pPr>
              <w:spacing w:line="300" w:lineRule="exact"/>
              <w:rPr>
                <w:rFonts w:asciiTheme="minorEastAsia" w:hAnsiTheme="minorEastAsia" w:cs="Times New Roman"/>
                <w:bCs/>
                <w:szCs w:val="21"/>
              </w:rPr>
            </w:pPr>
            <w:r w:rsidRPr="00E15962">
              <w:rPr>
                <w:rFonts w:cs="Times New Roman"/>
                <w:bCs/>
                <w:szCs w:val="21"/>
              </w:rPr>
              <w:t>1979</w:t>
            </w:r>
            <w:r w:rsidRPr="00E15962">
              <w:rPr>
                <w:rFonts w:asciiTheme="minorEastAsia" w:hAnsiTheme="minorEastAsia" w:cs="Times New Roman"/>
                <w:bCs/>
                <w:szCs w:val="21"/>
              </w:rPr>
              <w:t>年</w:t>
            </w:r>
          </w:p>
        </w:tc>
      </w:tr>
      <w:tr w:rsidR="00246997" w:rsidRPr="001C243D" w:rsidTr="00A32911">
        <w:tc>
          <w:tcPr>
            <w:tcW w:w="1701" w:type="dxa"/>
          </w:tcPr>
          <w:p w:rsidR="00246997" w:rsidRPr="00E15962" w:rsidRDefault="00246997" w:rsidP="00A32911">
            <w:pPr>
              <w:spacing w:line="300" w:lineRule="exact"/>
              <w:rPr>
                <w:rFonts w:asciiTheme="minorEastAsia" w:hAnsiTheme="minorEastAsia" w:cs="Times New Roman"/>
                <w:bCs/>
                <w:szCs w:val="21"/>
              </w:rPr>
            </w:pPr>
            <w:r w:rsidRPr="00E15962">
              <w:rPr>
                <w:rFonts w:asciiTheme="minorEastAsia" w:hAnsiTheme="minorEastAsia" w:cs="Times New Roman" w:hint="eastAsia"/>
                <w:bCs/>
                <w:szCs w:val="21"/>
              </w:rPr>
              <w:t>業種</w:t>
            </w:r>
          </w:p>
        </w:tc>
        <w:tc>
          <w:tcPr>
            <w:tcW w:w="6793" w:type="dxa"/>
          </w:tcPr>
          <w:p w:rsidR="00246997" w:rsidRPr="00E15962" w:rsidRDefault="00246997" w:rsidP="00A32911">
            <w:pPr>
              <w:spacing w:line="300" w:lineRule="exact"/>
              <w:rPr>
                <w:rFonts w:asciiTheme="minorEastAsia" w:hAnsiTheme="minorEastAsia" w:cs="Times New Roman"/>
                <w:bCs/>
                <w:szCs w:val="21"/>
              </w:rPr>
            </w:pPr>
            <w:r w:rsidRPr="001C243D">
              <w:rPr>
                <w:rFonts w:asciiTheme="minorEastAsia" w:hAnsiTheme="minorEastAsia" w:cs="Times New Roman"/>
                <w:bCs/>
                <w:szCs w:val="21"/>
              </w:rPr>
              <w:t>光部品・光測定器</w:t>
            </w:r>
            <w:r w:rsidRPr="001C243D">
              <w:rPr>
                <w:rFonts w:asciiTheme="minorEastAsia" w:hAnsiTheme="minorEastAsia" w:cs="Times New Roman" w:hint="eastAsia"/>
                <w:bCs/>
                <w:szCs w:val="21"/>
              </w:rPr>
              <w:t>開発、</w:t>
            </w:r>
            <w:r w:rsidRPr="001C243D">
              <w:rPr>
                <w:rFonts w:asciiTheme="minorEastAsia" w:hAnsiTheme="minorEastAsia" w:cs="Times New Roman"/>
                <w:bCs/>
                <w:szCs w:val="21"/>
              </w:rPr>
              <w:t>製造</w:t>
            </w:r>
            <w:r w:rsidRPr="001C243D">
              <w:rPr>
                <w:rFonts w:asciiTheme="minorEastAsia" w:hAnsiTheme="minorEastAsia" w:cs="Times New Roman" w:hint="eastAsia"/>
                <w:bCs/>
                <w:szCs w:val="21"/>
              </w:rPr>
              <w:t>、および</w:t>
            </w:r>
            <w:r w:rsidRPr="001C243D">
              <w:rPr>
                <w:rFonts w:asciiTheme="minorEastAsia" w:hAnsiTheme="minorEastAsia" w:cs="Times New Roman"/>
                <w:bCs/>
                <w:szCs w:val="21"/>
              </w:rPr>
              <w:t>販売</w:t>
            </w:r>
          </w:p>
        </w:tc>
      </w:tr>
      <w:tr w:rsidR="00246997" w:rsidRPr="001C243D" w:rsidTr="00A32911">
        <w:tc>
          <w:tcPr>
            <w:tcW w:w="1701" w:type="dxa"/>
          </w:tcPr>
          <w:p w:rsidR="00246997" w:rsidRPr="00E15962" w:rsidRDefault="00246997" w:rsidP="00A32911">
            <w:pPr>
              <w:spacing w:line="300" w:lineRule="exact"/>
              <w:rPr>
                <w:rFonts w:asciiTheme="minorEastAsia" w:hAnsiTheme="minorEastAsia" w:cs="Times New Roman"/>
                <w:bCs/>
                <w:szCs w:val="21"/>
              </w:rPr>
            </w:pPr>
            <w:r w:rsidRPr="00E15962">
              <w:rPr>
                <w:rFonts w:asciiTheme="minorEastAsia" w:hAnsiTheme="minorEastAsia" w:cs="Times New Roman" w:hint="eastAsia"/>
                <w:bCs/>
                <w:szCs w:val="21"/>
              </w:rPr>
              <w:t>株式市場</w:t>
            </w:r>
          </w:p>
        </w:tc>
        <w:tc>
          <w:tcPr>
            <w:tcW w:w="6793" w:type="dxa"/>
          </w:tcPr>
          <w:p w:rsidR="00246997" w:rsidRPr="00E15962" w:rsidRDefault="00246997" w:rsidP="00A32911">
            <w:pPr>
              <w:spacing w:line="300" w:lineRule="exact"/>
              <w:rPr>
                <w:rFonts w:asciiTheme="minorEastAsia" w:hAnsiTheme="minorEastAsia" w:cs="Times New Roman"/>
                <w:bCs/>
                <w:szCs w:val="21"/>
              </w:rPr>
            </w:pPr>
            <w:r w:rsidRPr="001C243D">
              <w:rPr>
                <w:rFonts w:asciiTheme="minorEastAsia" w:hAnsiTheme="minorEastAsia" w:cs="Times New Roman" w:hint="eastAsia"/>
                <w:bCs/>
                <w:szCs w:val="21"/>
              </w:rPr>
              <w:t xml:space="preserve">東京証券取引所　</w:t>
            </w:r>
            <w:r w:rsidRPr="00E15962">
              <w:rPr>
                <w:rFonts w:cs="Times New Roman"/>
                <w:bCs/>
                <w:szCs w:val="21"/>
              </w:rPr>
              <w:t>JASDAQ</w:t>
            </w:r>
            <w:r w:rsidRPr="00E15962">
              <w:rPr>
                <w:rFonts w:asciiTheme="minorEastAsia" w:hAnsiTheme="minorEastAsia" w:cs="Times New Roman"/>
                <w:bCs/>
                <w:szCs w:val="21"/>
              </w:rPr>
              <w:t>市場</w:t>
            </w:r>
            <w:r w:rsidRPr="00E15962">
              <w:rPr>
                <w:rFonts w:asciiTheme="minorEastAsia" w:hAnsiTheme="minorEastAsia" w:cs="Times New Roman" w:hint="eastAsia"/>
                <w:bCs/>
                <w:szCs w:val="21"/>
              </w:rPr>
              <w:t>（</w:t>
            </w:r>
            <w:r w:rsidRPr="00E15962">
              <w:rPr>
                <w:rFonts w:cs="Times New Roman"/>
                <w:bCs/>
                <w:szCs w:val="21"/>
              </w:rPr>
              <w:t>6777</w:t>
            </w:r>
            <w:r w:rsidRPr="00E15962">
              <w:rPr>
                <w:rFonts w:asciiTheme="minorEastAsia" w:hAnsiTheme="minorEastAsia" w:cs="Times New Roman"/>
                <w:bCs/>
                <w:szCs w:val="21"/>
              </w:rPr>
              <w:t>）</w:t>
            </w:r>
          </w:p>
        </w:tc>
      </w:tr>
      <w:tr w:rsidR="00246997" w:rsidRPr="001C243D" w:rsidTr="00A32911">
        <w:tc>
          <w:tcPr>
            <w:tcW w:w="1701" w:type="dxa"/>
          </w:tcPr>
          <w:p w:rsidR="00246997" w:rsidRPr="00E15962" w:rsidRDefault="00246997" w:rsidP="00A32911">
            <w:pPr>
              <w:spacing w:line="300" w:lineRule="exact"/>
              <w:rPr>
                <w:rFonts w:asciiTheme="minorEastAsia" w:hAnsiTheme="minorEastAsia" w:cs="Times New Roman"/>
                <w:bCs/>
                <w:szCs w:val="21"/>
              </w:rPr>
            </w:pPr>
            <w:r w:rsidRPr="00E15962">
              <w:rPr>
                <w:rFonts w:asciiTheme="minorEastAsia" w:hAnsiTheme="minorEastAsia" w:cs="Times New Roman" w:hint="eastAsia"/>
                <w:bCs/>
                <w:szCs w:val="21"/>
              </w:rPr>
              <w:t>本社</w:t>
            </w:r>
          </w:p>
        </w:tc>
        <w:tc>
          <w:tcPr>
            <w:tcW w:w="6793" w:type="dxa"/>
          </w:tcPr>
          <w:p w:rsidR="00246997" w:rsidRPr="00E15962" w:rsidRDefault="00246997" w:rsidP="00A32911">
            <w:pPr>
              <w:spacing w:line="300" w:lineRule="exact"/>
              <w:rPr>
                <w:rFonts w:asciiTheme="minorEastAsia" w:hAnsiTheme="minorEastAsia" w:cs="Times New Roman"/>
                <w:bCs/>
                <w:szCs w:val="21"/>
              </w:rPr>
            </w:pPr>
            <w:r w:rsidRPr="00E15962">
              <w:rPr>
                <w:rFonts w:asciiTheme="minorEastAsia" w:hAnsiTheme="minorEastAsia" w:cs="Times New Roman" w:hint="eastAsia"/>
                <w:bCs/>
                <w:szCs w:val="21"/>
              </w:rPr>
              <w:t>愛知県小牧市</w:t>
            </w:r>
          </w:p>
        </w:tc>
      </w:tr>
      <w:tr w:rsidR="00246997" w:rsidRPr="001C243D" w:rsidTr="00A32911">
        <w:tc>
          <w:tcPr>
            <w:tcW w:w="1701" w:type="dxa"/>
          </w:tcPr>
          <w:p w:rsidR="00246997" w:rsidRPr="003768E9" w:rsidRDefault="00246997" w:rsidP="00A32911">
            <w:pPr>
              <w:spacing w:line="300" w:lineRule="exact"/>
              <w:rPr>
                <w:rFonts w:asciiTheme="minorEastAsia" w:hAnsiTheme="minorEastAsia" w:cs="Times New Roman"/>
                <w:bCs/>
                <w:szCs w:val="21"/>
              </w:rPr>
            </w:pPr>
            <w:r w:rsidRPr="003768E9">
              <w:rPr>
                <w:rFonts w:asciiTheme="minorEastAsia" w:hAnsiTheme="minorEastAsia" w:cs="Times New Roman" w:hint="eastAsia"/>
                <w:bCs/>
                <w:szCs w:val="21"/>
              </w:rPr>
              <w:t>従業員数</w:t>
            </w:r>
          </w:p>
        </w:tc>
        <w:tc>
          <w:tcPr>
            <w:tcW w:w="6793" w:type="dxa"/>
          </w:tcPr>
          <w:p w:rsidR="00246997" w:rsidRPr="003768E9" w:rsidRDefault="00246997" w:rsidP="00A32911">
            <w:pPr>
              <w:spacing w:line="300" w:lineRule="exact"/>
              <w:rPr>
                <w:rFonts w:asciiTheme="minorEastAsia" w:hAnsiTheme="minorEastAsia" w:cs="Times New Roman"/>
                <w:bCs/>
                <w:szCs w:val="21"/>
              </w:rPr>
            </w:pPr>
            <w:r>
              <w:rPr>
                <w:rFonts w:cs="Times New Roman" w:hint="eastAsia"/>
                <w:bCs/>
                <w:szCs w:val="21"/>
              </w:rPr>
              <w:t>224</w:t>
            </w:r>
            <w:r w:rsidRPr="00C0739E">
              <w:rPr>
                <w:rFonts w:asciiTheme="minorEastAsia" w:hAnsiTheme="minorEastAsia" w:cs="Times New Roman"/>
                <w:bCs/>
                <w:szCs w:val="21"/>
              </w:rPr>
              <w:t>名</w:t>
            </w:r>
          </w:p>
        </w:tc>
      </w:tr>
      <w:tr w:rsidR="00246997" w:rsidRPr="001C243D" w:rsidTr="00A32911">
        <w:tc>
          <w:tcPr>
            <w:tcW w:w="1701" w:type="dxa"/>
          </w:tcPr>
          <w:p w:rsidR="00246997" w:rsidRPr="003768E9" w:rsidRDefault="00246997" w:rsidP="00A32911">
            <w:pPr>
              <w:spacing w:line="300" w:lineRule="exact"/>
              <w:rPr>
                <w:rFonts w:asciiTheme="minorEastAsia" w:hAnsiTheme="minorEastAsia" w:cs="Times New Roman"/>
                <w:bCs/>
                <w:szCs w:val="21"/>
              </w:rPr>
            </w:pPr>
            <w:r w:rsidRPr="003768E9">
              <w:rPr>
                <w:rFonts w:asciiTheme="minorEastAsia" w:hAnsiTheme="minorEastAsia" w:cs="Times New Roman" w:hint="eastAsia"/>
                <w:bCs/>
                <w:szCs w:val="21"/>
              </w:rPr>
              <w:t>販売子会社</w:t>
            </w:r>
          </w:p>
        </w:tc>
        <w:tc>
          <w:tcPr>
            <w:tcW w:w="6793" w:type="dxa"/>
          </w:tcPr>
          <w:p w:rsidR="00246997" w:rsidRPr="003768E9" w:rsidRDefault="00246997" w:rsidP="00A32911">
            <w:pPr>
              <w:spacing w:line="300" w:lineRule="exact"/>
              <w:rPr>
                <w:rFonts w:asciiTheme="minorEastAsia" w:hAnsiTheme="minorEastAsia" w:cs="Times New Roman"/>
                <w:bCs/>
                <w:szCs w:val="21"/>
              </w:rPr>
            </w:pPr>
            <w:r w:rsidRPr="003768E9">
              <w:rPr>
                <w:rFonts w:asciiTheme="minorEastAsia" w:hAnsiTheme="minorEastAsia" w:cs="Times New Roman"/>
                <w:bCs/>
                <w:szCs w:val="21"/>
              </w:rPr>
              <w:t>米国（ニュージャージー州）、英国（ロンドン）、中国（上海市）</w:t>
            </w:r>
          </w:p>
        </w:tc>
      </w:tr>
      <w:tr w:rsidR="00246997" w:rsidRPr="001C243D" w:rsidTr="00A32911">
        <w:tc>
          <w:tcPr>
            <w:tcW w:w="1701" w:type="dxa"/>
          </w:tcPr>
          <w:p w:rsidR="00246997" w:rsidRPr="003768E9" w:rsidRDefault="00246997" w:rsidP="00A32911">
            <w:pPr>
              <w:spacing w:line="300" w:lineRule="exact"/>
              <w:rPr>
                <w:rFonts w:asciiTheme="minorEastAsia" w:hAnsiTheme="minorEastAsia" w:cs="Times New Roman"/>
                <w:bCs/>
                <w:szCs w:val="21"/>
              </w:rPr>
            </w:pPr>
            <w:r w:rsidRPr="00C0739E">
              <w:rPr>
                <w:rFonts w:asciiTheme="minorEastAsia" w:hAnsiTheme="minorEastAsia" w:cs="Times New Roman" w:hint="eastAsia"/>
                <w:bCs/>
                <w:szCs w:val="21"/>
              </w:rPr>
              <w:t>会社紹介</w:t>
            </w:r>
          </w:p>
        </w:tc>
        <w:tc>
          <w:tcPr>
            <w:tcW w:w="6793" w:type="dxa"/>
          </w:tcPr>
          <w:p w:rsidR="00246997" w:rsidRPr="003768E9" w:rsidRDefault="00246997" w:rsidP="00A32911">
            <w:pPr>
              <w:spacing w:line="300" w:lineRule="exact"/>
              <w:rPr>
                <w:rFonts w:asciiTheme="minorEastAsia" w:hAnsiTheme="minorEastAsia" w:cs="Times New Roman"/>
                <w:bCs/>
                <w:szCs w:val="21"/>
              </w:rPr>
            </w:pPr>
            <w:r w:rsidRPr="003768E9">
              <w:rPr>
                <w:rFonts w:cs="Times New Roman"/>
                <w:bCs/>
                <w:szCs w:val="21"/>
              </w:rPr>
              <w:t>1984</w:t>
            </w:r>
            <w:r w:rsidRPr="003768E9">
              <w:rPr>
                <w:rFonts w:asciiTheme="minorEastAsia" w:hAnsiTheme="minorEastAsia" w:cs="Times New Roman"/>
                <w:bCs/>
                <w:szCs w:val="21"/>
              </w:rPr>
              <w:t>年に光ファイバ検査装置を世に送り出し、現在では</w:t>
            </w:r>
            <w:r w:rsidRPr="003768E9">
              <w:rPr>
                <w:rFonts w:asciiTheme="minorEastAsia" w:hAnsiTheme="minorEastAsia" w:cs="Times New Roman" w:hint="eastAsia"/>
                <w:bCs/>
                <w:szCs w:val="21"/>
              </w:rPr>
              <w:t>世界中の主要な通信事業者、伝送装置</w:t>
            </w:r>
            <w:r w:rsidRPr="003768E9">
              <w:rPr>
                <w:rFonts w:asciiTheme="minorEastAsia" w:hAnsiTheme="minorEastAsia" w:cs="Times New Roman"/>
                <w:bCs/>
                <w:szCs w:val="21"/>
              </w:rPr>
              <w:t>/サブシステムメーカー、最先端の研究施設や大学等へ販売実績がある光技術のパイオニア企業である。</w:t>
            </w:r>
          </w:p>
        </w:tc>
      </w:tr>
    </w:tbl>
    <w:p w:rsidR="00246997" w:rsidRPr="00246997" w:rsidRDefault="00246997"/>
    <w:sectPr w:rsidR="00246997" w:rsidRPr="00246997" w:rsidSect="00CE11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AFF" w:rsidRDefault="003F3AFF" w:rsidP="003E0ED1">
      <w:r>
        <w:separator/>
      </w:r>
    </w:p>
  </w:endnote>
  <w:endnote w:type="continuationSeparator" w:id="0">
    <w:p w:rsidR="003F3AFF" w:rsidRDefault="003F3AFF" w:rsidP="003E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AFF" w:rsidRDefault="003F3AFF" w:rsidP="003E0ED1">
      <w:r>
        <w:separator/>
      </w:r>
    </w:p>
  </w:footnote>
  <w:footnote w:type="continuationSeparator" w:id="0">
    <w:p w:rsidR="003F3AFF" w:rsidRDefault="003F3AFF" w:rsidP="003E0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112FC"/>
    <w:multiLevelType w:val="multilevel"/>
    <w:tmpl w:val="F196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2194B"/>
    <w:multiLevelType w:val="multilevel"/>
    <w:tmpl w:val="1FA4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52"/>
    <w:rsid w:val="001C25D2"/>
    <w:rsid w:val="00246997"/>
    <w:rsid w:val="003E0ED1"/>
    <w:rsid w:val="003F3AFF"/>
    <w:rsid w:val="00616788"/>
    <w:rsid w:val="00AF3B1C"/>
    <w:rsid w:val="00CE11D9"/>
    <w:rsid w:val="00D21D52"/>
    <w:rsid w:val="00D55A8A"/>
    <w:rsid w:val="00E352D5"/>
    <w:rsid w:val="00F11CBB"/>
    <w:rsid w:val="00F34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DCF7D13-3BA6-4AB1-A8F2-F1855AEE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D21D52"/>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1D52"/>
    <w:rPr>
      <w:rFonts w:ascii="ＭＳ Ｐゴシック" w:eastAsia="ＭＳ Ｐゴシック" w:hAnsi="ＭＳ Ｐゴシック" w:cs="ＭＳ Ｐゴシック"/>
      <w:b/>
      <w:bCs/>
      <w:kern w:val="36"/>
      <w:sz w:val="48"/>
      <w:szCs w:val="48"/>
    </w:rPr>
  </w:style>
  <w:style w:type="paragraph" w:styleId="Web">
    <w:name w:val="Normal (Web)"/>
    <w:basedOn w:val="a"/>
    <w:uiPriority w:val="99"/>
    <w:semiHidden/>
    <w:unhideWhenUsed/>
    <w:rsid w:val="00D21D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D21D52"/>
    <w:rPr>
      <w:b/>
      <w:bCs/>
    </w:rPr>
  </w:style>
  <w:style w:type="character" w:styleId="a4">
    <w:name w:val="Hyperlink"/>
    <w:basedOn w:val="a0"/>
    <w:uiPriority w:val="99"/>
    <w:semiHidden/>
    <w:unhideWhenUsed/>
    <w:rsid w:val="00CE11D9"/>
    <w:rPr>
      <w:color w:val="0000FF"/>
      <w:u w:val="single"/>
    </w:rPr>
  </w:style>
  <w:style w:type="paragraph" w:styleId="a5">
    <w:name w:val="header"/>
    <w:basedOn w:val="a"/>
    <w:link w:val="a6"/>
    <w:uiPriority w:val="99"/>
    <w:unhideWhenUsed/>
    <w:rsid w:val="003E0ED1"/>
    <w:pPr>
      <w:tabs>
        <w:tab w:val="center" w:pos="4252"/>
        <w:tab w:val="right" w:pos="8504"/>
      </w:tabs>
      <w:snapToGrid w:val="0"/>
    </w:pPr>
  </w:style>
  <w:style w:type="character" w:customStyle="1" w:styleId="a6">
    <w:name w:val="ヘッダー (文字)"/>
    <w:basedOn w:val="a0"/>
    <w:link w:val="a5"/>
    <w:uiPriority w:val="99"/>
    <w:rsid w:val="003E0ED1"/>
  </w:style>
  <w:style w:type="paragraph" w:styleId="a7">
    <w:name w:val="footer"/>
    <w:basedOn w:val="a"/>
    <w:link w:val="a8"/>
    <w:uiPriority w:val="99"/>
    <w:unhideWhenUsed/>
    <w:rsid w:val="003E0ED1"/>
    <w:pPr>
      <w:tabs>
        <w:tab w:val="center" w:pos="4252"/>
        <w:tab w:val="right" w:pos="8504"/>
      </w:tabs>
      <w:snapToGrid w:val="0"/>
    </w:pPr>
  </w:style>
  <w:style w:type="character" w:customStyle="1" w:styleId="a8">
    <w:name w:val="フッター (文字)"/>
    <w:basedOn w:val="a0"/>
    <w:link w:val="a7"/>
    <w:uiPriority w:val="99"/>
    <w:rsid w:val="003E0ED1"/>
  </w:style>
  <w:style w:type="table" w:styleId="a9">
    <w:name w:val="Table Grid"/>
    <w:basedOn w:val="a1"/>
    <w:uiPriority w:val="39"/>
    <w:rsid w:val="00246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10596">
      <w:bodyDiv w:val="1"/>
      <w:marLeft w:val="0"/>
      <w:marRight w:val="0"/>
      <w:marTop w:val="0"/>
      <w:marBottom w:val="0"/>
      <w:divBdr>
        <w:top w:val="none" w:sz="0" w:space="0" w:color="auto"/>
        <w:left w:val="none" w:sz="0" w:space="0" w:color="auto"/>
        <w:bottom w:val="none" w:sz="0" w:space="0" w:color="auto"/>
        <w:right w:val="none" w:sz="0" w:space="0" w:color="auto"/>
      </w:divBdr>
    </w:div>
    <w:div w:id="855192860">
      <w:bodyDiv w:val="1"/>
      <w:marLeft w:val="0"/>
      <w:marRight w:val="0"/>
      <w:marTop w:val="0"/>
      <w:marBottom w:val="0"/>
      <w:divBdr>
        <w:top w:val="none" w:sz="0" w:space="0" w:color="auto"/>
        <w:left w:val="none" w:sz="0" w:space="0" w:color="auto"/>
        <w:bottom w:val="none" w:sz="0" w:space="0" w:color="auto"/>
        <w:right w:val="none" w:sz="0" w:space="0" w:color="auto"/>
      </w:divBdr>
    </w:div>
    <w:div w:id="152548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antec.com/jp/inquiry/inquiry_form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antec.com/en/wp-content/uploads/HSL-1-C-E-V1_5.pdf"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2</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両澤 淳</dc:creator>
  <cp:keywords/>
  <dc:description/>
  <cp:lastModifiedBy>グ ギョンミン</cp:lastModifiedBy>
  <cp:revision>5</cp:revision>
  <dcterms:created xsi:type="dcterms:W3CDTF">2020-01-21T00:57:00Z</dcterms:created>
  <dcterms:modified xsi:type="dcterms:W3CDTF">2020-01-24T04:19:00Z</dcterms:modified>
</cp:coreProperties>
</file>