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36E" w:rsidRPr="0003736E" w:rsidRDefault="0003736E" w:rsidP="0003736E">
      <w:pPr>
        <w:rPr>
          <w:rFonts w:asciiTheme="majorEastAsia" w:eastAsiaTheme="majorEastAsia" w:hAnsiTheme="majorEastAsia" w:cs="Helv"/>
          <w:b/>
          <w:bCs/>
          <w:sz w:val="28"/>
          <w:szCs w:val="28"/>
        </w:rPr>
      </w:pPr>
      <w:r w:rsidRPr="0003736E"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性能・機能</w:t>
      </w:r>
      <w:r w:rsidR="00EB091E"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・品質</w:t>
      </w:r>
      <w:r w:rsidRPr="0003736E"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を</w:t>
      </w:r>
      <w:r w:rsidR="006A365D"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向上</w:t>
      </w:r>
      <w:r w:rsidRPr="0003736E"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させた高速波長可変光源（型式：</w:t>
      </w:r>
      <w:r w:rsidR="006A365D"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TSL-5</w:t>
      </w:r>
      <w:r w:rsidRPr="0003736E">
        <w:rPr>
          <w:rFonts w:asciiTheme="majorEastAsia" w:eastAsiaTheme="majorEastAsia" w:hAnsiTheme="majorEastAsia" w:cs="Helv" w:hint="eastAsia"/>
          <w:b/>
          <w:bCs/>
          <w:sz w:val="28"/>
          <w:szCs w:val="28"/>
        </w:rPr>
        <w:t>70）を発表</w:t>
      </w:r>
    </w:p>
    <w:p w:rsidR="0003736E" w:rsidRDefault="002F5B55" w:rsidP="0003736E">
      <w:pPr>
        <w:rPr>
          <w:rFonts w:asciiTheme="majorEastAsia" w:eastAsiaTheme="majorEastAsia" w:hAnsiTheme="majorEastAsia" w:cs="Helv"/>
          <w:bCs/>
          <w:sz w:val="20"/>
          <w:szCs w:val="20"/>
        </w:rPr>
      </w:pPr>
      <w:r>
        <w:rPr>
          <w:rFonts w:asciiTheme="majorEastAsia" w:eastAsiaTheme="majorEastAsia" w:hAnsiTheme="majorEastAsia" w:cs="Helv" w:hint="eastAsia"/>
          <w:bCs/>
          <w:sz w:val="20"/>
          <w:szCs w:val="20"/>
        </w:rPr>
        <w:t>製品名：　　高性能・高速波長可変光源</w:t>
      </w:r>
      <w:r w:rsidR="0003736E">
        <w:rPr>
          <w:rFonts w:asciiTheme="majorEastAsia" w:eastAsiaTheme="majorEastAsia" w:hAnsiTheme="majorEastAsia" w:cs="Helv"/>
          <w:bCs/>
          <w:sz w:val="20"/>
          <w:szCs w:val="20"/>
        </w:rPr>
        <w:br/>
      </w:r>
      <w:r w:rsidR="0003736E"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 xml:space="preserve">製品型式：　</w:t>
      </w:r>
      <w:r w:rsidR="006A365D">
        <w:rPr>
          <w:rFonts w:asciiTheme="majorEastAsia" w:eastAsiaTheme="majorEastAsia" w:hAnsiTheme="majorEastAsia" w:cs="Helv" w:hint="eastAsia"/>
          <w:bCs/>
          <w:sz w:val="20"/>
          <w:szCs w:val="20"/>
        </w:rPr>
        <w:t>TSL-5</w:t>
      </w:r>
      <w:r w:rsid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70</w:t>
      </w:r>
    </w:p>
    <w:p w:rsidR="007B462E" w:rsidRPr="0003736E" w:rsidRDefault="007B462E" w:rsidP="0003736E">
      <w:pPr>
        <w:rPr>
          <w:rFonts w:asciiTheme="majorEastAsia" w:eastAsiaTheme="majorEastAsia" w:hAnsiTheme="majorEastAsia" w:cs="Helv"/>
          <w:bCs/>
          <w:sz w:val="20"/>
          <w:szCs w:val="20"/>
        </w:rPr>
      </w:pPr>
      <w:r>
        <w:rPr>
          <w:rFonts w:asciiTheme="majorEastAsia" w:eastAsiaTheme="majorEastAsia" w:hAnsiTheme="majorEastAsia" w:cs="Helv" w:hint="eastAsia"/>
          <w:bCs/>
          <w:sz w:val="20"/>
          <w:szCs w:val="20"/>
        </w:rPr>
        <w:t>2021年3月</w:t>
      </w:r>
      <w:r w:rsidR="00783D70">
        <w:rPr>
          <w:rFonts w:asciiTheme="majorEastAsia" w:eastAsiaTheme="majorEastAsia" w:hAnsiTheme="majorEastAsia" w:cs="Helv" w:hint="eastAsia"/>
          <w:bCs/>
          <w:sz w:val="20"/>
          <w:szCs w:val="20"/>
        </w:rPr>
        <w:t>4</w:t>
      </w:r>
      <w:r>
        <w:rPr>
          <w:rFonts w:asciiTheme="majorEastAsia" w:eastAsiaTheme="majorEastAsia" w:hAnsiTheme="majorEastAsia" w:cs="Helv" w:hint="eastAsia"/>
          <w:bCs/>
          <w:sz w:val="20"/>
          <w:szCs w:val="20"/>
        </w:rPr>
        <w:t>日発表</w:t>
      </w:r>
    </w:p>
    <w:p w:rsidR="006B3A76" w:rsidRPr="006B3A76" w:rsidRDefault="0003736E" w:rsidP="006B3A7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Helv"/>
          <w:bCs/>
          <w:sz w:val="18"/>
          <w:szCs w:val="20"/>
        </w:rPr>
      </w:pPr>
      <w:r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santec株式会社（本社 愛知県小牧市）は、</w:t>
      </w:r>
      <w:r w:rsidR="00A94584" w:rsidRPr="00A94584">
        <w:rPr>
          <w:rFonts w:asciiTheme="majorEastAsia" w:eastAsiaTheme="majorEastAsia" w:hAnsiTheme="majorEastAsia" w:cs="Helv" w:hint="eastAsia"/>
          <w:bCs/>
          <w:sz w:val="18"/>
          <w:szCs w:val="20"/>
        </w:rPr>
        <w:t>1987年に世界で初めて半導体レーザを用いた外部共振器型波長可変レーザ装置を製品化し</w:t>
      </w:r>
      <w:r w:rsidR="00A94584">
        <w:rPr>
          <w:rFonts w:asciiTheme="majorEastAsia" w:eastAsiaTheme="majorEastAsia" w:hAnsiTheme="majorEastAsia" w:cs="Helv" w:hint="eastAsia"/>
          <w:bCs/>
          <w:sz w:val="18"/>
          <w:szCs w:val="20"/>
        </w:rPr>
        <w:t>て以来</w:t>
      </w:r>
      <w:r w:rsidR="00A94584" w:rsidRPr="00A94584">
        <w:rPr>
          <w:rFonts w:asciiTheme="majorEastAsia" w:eastAsiaTheme="majorEastAsia" w:hAnsiTheme="majorEastAsia" w:cs="Helv" w:hint="eastAsia"/>
          <w:bCs/>
          <w:sz w:val="18"/>
          <w:szCs w:val="20"/>
        </w:rPr>
        <w:t>、今日まで33年以上の経験と実績をベースに高性能かつ高品質な製品を開発・製造しております。</w:t>
      </w:r>
      <w:r w:rsidR="00A94584">
        <w:rPr>
          <w:rFonts w:asciiTheme="majorEastAsia" w:eastAsiaTheme="majorEastAsia" w:hAnsiTheme="majorEastAsia" w:cs="Helv" w:hint="eastAsia"/>
          <w:bCs/>
          <w:sz w:val="18"/>
          <w:szCs w:val="20"/>
        </w:rPr>
        <w:t>このたび、</w:t>
      </w:r>
      <w:r w:rsidR="002F5B55">
        <w:rPr>
          <w:rFonts w:asciiTheme="majorEastAsia" w:eastAsiaTheme="majorEastAsia" w:hAnsiTheme="majorEastAsia" w:cs="Helv" w:hint="eastAsia"/>
          <w:bCs/>
          <w:sz w:val="18"/>
          <w:szCs w:val="20"/>
        </w:rPr>
        <w:t>外部共振器型波長可変光源 TSL-550の後継機として、</w:t>
      </w:r>
      <w:r w:rsidR="002F5B55" w:rsidRPr="002F5B55">
        <w:rPr>
          <w:rFonts w:asciiTheme="majorEastAsia" w:eastAsiaTheme="majorEastAsia" w:hAnsiTheme="majorEastAsia" w:cs="Helv" w:hint="eastAsia"/>
          <w:b/>
          <w:bCs/>
          <w:sz w:val="18"/>
          <w:szCs w:val="20"/>
        </w:rPr>
        <w:t>高速波長可変光源 TSL-570</w:t>
      </w:r>
      <w:r w:rsidR="002F5B55">
        <w:rPr>
          <w:rFonts w:asciiTheme="majorEastAsia" w:eastAsiaTheme="majorEastAsia" w:hAnsiTheme="majorEastAsia" w:cs="Helv" w:hint="eastAsia"/>
          <w:bCs/>
          <w:sz w:val="18"/>
          <w:szCs w:val="20"/>
        </w:rPr>
        <w:t>を開発しました。</w:t>
      </w:r>
    </w:p>
    <w:p w:rsidR="00F41CC8" w:rsidRPr="00DD7D00" w:rsidRDefault="002D224C" w:rsidP="002D224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EastAsia" w:eastAsiaTheme="majorEastAsia" w:hAnsiTheme="majorEastAsia" w:cs="Helv"/>
          <w:bCs/>
          <w:sz w:val="18"/>
          <w:szCs w:val="20"/>
        </w:rPr>
      </w:pPr>
      <w:r w:rsidRPr="002D224C">
        <w:rPr>
          <w:rFonts w:asciiTheme="majorEastAsia" w:eastAsiaTheme="majorEastAsia" w:hAnsiTheme="majorEastAsia" w:cs="Helv" w:hint="eastAsia"/>
          <w:bCs/>
          <w:sz w:val="18"/>
          <w:szCs w:val="20"/>
        </w:rPr>
        <w:t>近年の大容量・高速</w:t>
      </w:r>
      <w:r w:rsidR="00A94584" w:rsidRPr="002D224C">
        <w:rPr>
          <w:rFonts w:asciiTheme="majorEastAsia" w:eastAsiaTheme="majorEastAsia" w:hAnsiTheme="majorEastAsia" w:cs="Helv" w:hint="eastAsia"/>
          <w:bCs/>
          <w:sz w:val="18"/>
          <w:szCs w:val="20"/>
        </w:rPr>
        <w:t>インターネット</w:t>
      </w:r>
      <w:r w:rsidRPr="002D224C">
        <w:rPr>
          <w:rFonts w:asciiTheme="majorEastAsia" w:eastAsiaTheme="majorEastAsia" w:hAnsiTheme="majorEastAsia" w:cs="Helv" w:hint="eastAsia"/>
          <w:bCs/>
          <w:sz w:val="18"/>
          <w:szCs w:val="20"/>
        </w:rPr>
        <w:t>サービスの普及や5G（第5世代移動通信システム）の開始により、</w:t>
      </w:r>
      <w:r w:rsidR="00A94584">
        <w:rPr>
          <w:rFonts w:asciiTheme="majorEastAsia" w:eastAsiaTheme="majorEastAsia" w:hAnsiTheme="majorEastAsia" w:cs="Helv" w:hint="eastAsia"/>
          <w:bCs/>
          <w:sz w:val="18"/>
          <w:szCs w:val="20"/>
        </w:rPr>
        <w:t>光ネットワークシステムの需要が拡大しています。そのため、</w:t>
      </w:r>
      <w:r w:rsidR="00BD0314">
        <w:rPr>
          <w:rFonts w:asciiTheme="majorEastAsia" w:eastAsiaTheme="majorEastAsia" w:hAnsiTheme="majorEastAsia" w:cs="Helv" w:hint="eastAsia"/>
          <w:bCs/>
          <w:sz w:val="18"/>
          <w:szCs w:val="20"/>
        </w:rPr>
        <w:t>光部品のデマンドが増加しており、</w:t>
      </w:r>
      <w:r w:rsidRPr="002D224C">
        <w:rPr>
          <w:rFonts w:asciiTheme="majorEastAsia" w:eastAsiaTheme="majorEastAsia" w:hAnsiTheme="majorEastAsia" w:cs="Helv" w:hint="eastAsia"/>
          <w:bCs/>
          <w:sz w:val="18"/>
          <w:szCs w:val="20"/>
        </w:rPr>
        <w:t>光部品の検査時間の短縮や高精度に測定する</w:t>
      </w:r>
      <w:r w:rsidR="00A94584">
        <w:rPr>
          <w:rFonts w:asciiTheme="majorEastAsia" w:eastAsiaTheme="majorEastAsia" w:hAnsiTheme="majorEastAsia" w:cs="Helv" w:hint="eastAsia"/>
          <w:bCs/>
          <w:sz w:val="18"/>
          <w:szCs w:val="20"/>
        </w:rPr>
        <w:t>ニーズ</w:t>
      </w:r>
      <w:r w:rsidRPr="002D224C">
        <w:rPr>
          <w:rFonts w:asciiTheme="majorEastAsia" w:eastAsiaTheme="majorEastAsia" w:hAnsiTheme="majorEastAsia" w:cs="Helv" w:hint="eastAsia"/>
          <w:bCs/>
          <w:sz w:val="18"/>
          <w:szCs w:val="20"/>
        </w:rPr>
        <w:t>が高まっています。この</w:t>
      </w:r>
      <w:r w:rsidR="00A94584">
        <w:rPr>
          <w:rFonts w:asciiTheme="majorEastAsia" w:eastAsiaTheme="majorEastAsia" w:hAnsiTheme="majorEastAsia" w:cs="Helv" w:hint="eastAsia"/>
          <w:bCs/>
          <w:sz w:val="18"/>
          <w:szCs w:val="20"/>
        </w:rPr>
        <w:t>ニーズ</w:t>
      </w:r>
      <w:r w:rsidRPr="002D224C">
        <w:rPr>
          <w:rFonts w:asciiTheme="majorEastAsia" w:eastAsiaTheme="majorEastAsia" w:hAnsiTheme="majorEastAsia" w:cs="Helv" w:hint="eastAsia"/>
          <w:bCs/>
          <w:sz w:val="18"/>
          <w:szCs w:val="20"/>
        </w:rPr>
        <w:t>に対応するために、当社は、レーザ共振器および制御回路を刷新することで、従来機より高速、高性能、高品質を実現しました。これにより、新製品TSL-570は、</w:t>
      </w:r>
      <w:r w:rsidR="0045583C">
        <w:rPr>
          <w:rFonts w:asciiTheme="majorEastAsia" w:eastAsiaTheme="majorEastAsia" w:hAnsiTheme="majorEastAsia" w:cs="Helv" w:hint="eastAsia"/>
          <w:bCs/>
          <w:sz w:val="18"/>
          <w:szCs w:val="20"/>
        </w:rPr>
        <w:t>光</w:t>
      </w:r>
      <w:r w:rsidRPr="002D224C">
        <w:rPr>
          <w:rFonts w:asciiTheme="majorEastAsia" w:eastAsiaTheme="majorEastAsia" w:hAnsiTheme="majorEastAsia" w:cs="Helv" w:hint="eastAsia"/>
          <w:bCs/>
          <w:sz w:val="18"/>
          <w:szCs w:val="20"/>
        </w:rPr>
        <w:t>部品の特性評価だけで</w:t>
      </w:r>
      <w:r w:rsidR="0045583C">
        <w:rPr>
          <w:rFonts w:asciiTheme="majorEastAsia" w:eastAsiaTheme="majorEastAsia" w:hAnsiTheme="majorEastAsia" w:cs="Helv" w:hint="eastAsia"/>
          <w:bCs/>
          <w:sz w:val="18"/>
          <w:szCs w:val="20"/>
        </w:rPr>
        <w:t>なく、フォトニック集積回路、量子フォトニクス、分光法、センサーの開発</w:t>
      </w:r>
      <w:r w:rsidRPr="002D224C">
        <w:rPr>
          <w:rFonts w:asciiTheme="majorEastAsia" w:eastAsiaTheme="majorEastAsia" w:hAnsiTheme="majorEastAsia" w:cs="Helv" w:hint="eastAsia"/>
          <w:bCs/>
          <w:sz w:val="18"/>
          <w:szCs w:val="20"/>
        </w:rPr>
        <w:t>など様々なアプリケーションで理想的なツールとなっています。</w:t>
      </w:r>
    </w:p>
    <w:p w:rsidR="0003736E" w:rsidRDefault="0003736E" w:rsidP="002C0973">
      <w:pPr>
        <w:autoSpaceDE w:val="0"/>
        <w:autoSpaceDN w:val="0"/>
        <w:adjustRightInd w:val="0"/>
        <w:spacing w:after="0" w:line="240" w:lineRule="auto"/>
        <w:jc w:val="center"/>
        <w:rPr>
          <w:rFonts w:ascii="Helv" w:hAnsi="Helv" w:cs="Helv"/>
          <w:sz w:val="20"/>
          <w:szCs w:val="20"/>
        </w:rPr>
      </w:pPr>
    </w:p>
    <w:p w:rsidR="000F73D3" w:rsidRPr="0003736E" w:rsidRDefault="00783D70" w:rsidP="00783D70">
      <w:pPr>
        <w:jc w:val="center"/>
        <w:rPr>
          <w:rFonts w:asciiTheme="majorEastAsia" w:eastAsiaTheme="majorEastAsia" w:hAnsiTheme="majorEastAsia" w:cs="Helv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8D19F06" wp14:editId="1CCEAB1C">
            <wp:extent cx="3657600" cy="1949697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77" b="8615"/>
                    <a:stretch/>
                  </pic:blipFill>
                  <pic:spPr bwMode="auto">
                    <a:xfrm>
                      <a:off x="0" y="0"/>
                      <a:ext cx="3693989" cy="196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736E" w:rsidRPr="0003736E" w:rsidRDefault="0003736E" w:rsidP="0003736E">
      <w:pPr>
        <w:rPr>
          <w:rFonts w:asciiTheme="majorEastAsia" w:eastAsiaTheme="majorEastAsia" w:hAnsiTheme="majorEastAsia" w:cs="Helv"/>
          <w:bCs/>
          <w:sz w:val="20"/>
          <w:szCs w:val="20"/>
        </w:rPr>
      </w:pP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新製品の特長</w:t>
      </w:r>
    </w:p>
    <w:p w:rsidR="0003736E" w:rsidRPr="0003736E" w:rsidRDefault="0003736E" w:rsidP="0003736E">
      <w:pPr>
        <w:rPr>
          <w:rFonts w:asciiTheme="majorEastAsia" w:eastAsiaTheme="majorEastAsia" w:hAnsiTheme="majorEastAsia" w:cs="Helv"/>
          <w:b/>
          <w:bCs/>
          <w:sz w:val="20"/>
          <w:szCs w:val="20"/>
          <w:u w:val="single"/>
        </w:rPr>
      </w:pPr>
      <w:r w:rsidRPr="0003736E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 xml:space="preserve">1.　</w:t>
      </w:r>
      <w:r w:rsidR="006A1DBF" w:rsidRPr="006A1DBF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波長可変光源に求められるあらゆる特性が改善</w:t>
      </w:r>
    </w:p>
    <w:p w:rsidR="006A1DBF" w:rsidRPr="00BE5E37" w:rsidRDefault="006A1DBF" w:rsidP="006A1DBF">
      <w:pPr>
        <w:ind w:leftChars="257" w:left="565" w:firstLineChars="1" w:firstLine="2"/>
        <w:rPr>
          <w:rFonts w:asciiTheme="majorEastAsia" w:eastAsiaTheme="majorEastAsia" w:hAnsiTheme="majorEastAsia" w:cs="Helv"/>
          <w:bCs/>
          <w:sz w:val="18"/>
          <w:szCs w:val="20"/>
        </w:rPr>
      </w:pP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・</w:t>
      </w:r>
      <w:r w:rsidR="00A95C90">
        <w:rPr>
          <w:rFonts w:asciiTheme="majorEastAsia" w:eastAsiaTheme="majorEastAsia" w:hAnsiTheme="majorEastAsia" w:cs="Helv" w:hint="eastAsia"/>
          <w:bCs/>
          <w:sz w:val="18"/>
          <w:szCs w:val="20"/>
        </w:rPr>
        <w:t>波長可変機構</w:t>
      </w: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の最適化により従来機の2倍となる</w:t>
      </w:r>
      <w:r w:rsidR="00A95C90">
        <w:rPr>
          <w:rFonts w:asciiTheme="majorEastAsia" w:eastAsiaTheme="majorEastAsia" w:hAnsiTheme="majorEastAsia" w:cs="Helv" w:hint="eastAsia"/>
          <w:bCs/>
          <w:sz w:val="18"/>
          <w:szCs w:val="20"/>
        </w:rPr>
        <w:t>200nm/s</w:t>
      </w:r>
      <w:r w:rsidR="007537B0">
        <w:rPr>
          <w:rFonts w:asciiTheme="majorEastAsia" w:eastAsiaTheme="majorEastAsia" w:hAnsiTheme="majorEastAsia" w:cs="Helv" w:hint="eastAsia"/>
          <w:bCs/>
          <w:sz w:val="18"/>
          <w:szCs w:val="20"/>
        </w:rPr>
        <w:t>を実現</w:t>
      </w:r>
      <w:r w:rsidR="007537B0"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="00050389">
        <w:rPr>
          <w:rFonts w:asciiTheme="majorEastAsia" w:eastAsiaTheme="majorEastAsia" w:hAnsiTheme="majorEastAsia" w:cs="Helv" w:hint="eastAsia"/>
          <w:bCs/>
          <w:sz w:val="18"/>
          <w:szCs w:val="20"/>
        </w:rPr>
        <w:t>・</w:t>
      </w:r>
      <w:r w:rsidR="007537B0">
        <w:rPr>
          <w:rFonts w:asciiTheme="majorEastAsia" w:eastAsiaTheme="majorEastAsia" w:hAnsiTheme="majorEastAsia" w:cs="Helv" w:hint="eastAsia"/>
          <w:bCs/>
          <w:sz w:val="18"/>
          <w:szCs w:val="20"/>
        </w:rPr>
        <w:t>波長掃引時の動的特性</w:t>
      </w:r>
      <w:r w:rsidR="00BD0314">
        <w:rPr>
          <w:rFonts w:asciiTheme="majorEastAsia" w:eastAsiaTheme="majorEastAsia" w:hAnsiTheme="majorEastAsia" w:cs="Helv" w:hint="eastAsia"/>
          <w:bCs/>
          <w:sz w:val="18"/>
          <w:szCs w:val="20"/>
        </w:rPr>
        <w:t>の向上により</w:t>
      </w:r>
      <w:r w:rsidR="007537B0">
        <w:rPr>
          <w:rFonts w:asciiTheme="majorEastAsia" w:eastAsiaTheme="majorEastAsia" w:hAnsiTheme="majorEastAsia" w:cs="Helv" w:hint="eastAsia"/>
          <w:bCs/>
          <w:sz w:val="18"/>
          <w:szCs w:val="20"/>
        </w:rPr>
        <w:t>、</w:t>
      </w:r>
      <w:r w:rsidR="007537B0" w:rsidRPr="007537B0">
        <w:rPr>
          <w:rFonts w:asciiTheme="majorEastAsia" w:eastAsiaTheme="majorEastAsia" w:hAnsiTheme="majorEastAsia" w:cs="Helv" w:hint="eastAsia"/>
          <w:bCs/>
          <w:sz w:val="18"/>
          <w:szCs w:val="20"/>
        </w:rPr>
        <w:t>光部品</w:t>
      </w:r>
      <w:r w:rsidR="002D224C">
        <w:rPr>
          <w:rFonts w:asciiTheme="majorEastAsia" w:eastAsiaTheme="majorEastAsia" w:hAnsiTheme="majorEastAsia" w:cs="Helv" w:hint="eastAsia"/>
          <w:bCs/>
          <w:sz w:val="18"/>
          <w:szCs w:val="20"/>
        </w:rPr>
        <w:t>などの</w:t>
      </w:r>
      <w:r w:rsidR="007537B0">
        <w:rPr>
          <w:rFonts w:asciiTheme="majorEastAsia" w:eastAsiaTheme="majorEastAsia" w:hAnsiTheme="majorEastAsia" w:cs="Helv" w:hint="eastAsia"/>
          <w:bCs/>
          <w:sz w:val="18"/>
          <w:szCs w:val="20"/>
        </w:rPr>
        <w:t>検査</w:t>
      </w:r>
      <w:r w:rsidR="00E56A90">
        <w:rPr>
          <w:rFonts w:asciiTheme="majorEastAsia" w:eastAsiaTheme="majorEastAsia" w:hAnsiTheme="majorEastAsia" w:cs="Helv" w:hint="eastAsia"/>
          <w:bCs/>
          <w:sz w:val="18"/>
          <w:szCs w:val="20"/>
        </w:rPr>
        <w:t>時間</w:t>
      </w:r>
      <w:r w:rsidR="00050389">
        <w:rPr>
          <w:rFonts w:asciiTheme="majorEastAsia" w:eastAsiaTheme="majorEastAsia" w:hAnsiTheme="majorEastAsia" w:cs="Helv" w:hint="eastAsia"/>
          <w:bCs/>
          <w:sz w:val="18"/>
          <w:szCs w:val="20"/>
        </w:rPr>
        <w:t>の</w:t>
      </w:r>
      <w:r w:rsidR="00E56A90"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短縮</w:t>
      </w:r>
      <w:r w:rsidR="00E56A90">
        <w:rPr>
          <w:rFonts w:asciiTheme="majorEastAsia" w:eastAsiaTheme="majorEastAsia" w:hAnsiTheme="majorEastAsia" w:cs="Helv" w:hint="eastAsia"/>
          <w:bCs/>
          <w:sz w:val="18"/>
          <w:szCs w:val="20"/>
        </w:rPr>
        <w:t>、精度向上</w:t>
      </w: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に貢献</w:t>
      </w:r>
      <w:r w:rsidR="004D1988"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="004D1988">
        <w:rPr>
          <w:rFonts w:asciiTheme="majorEastAsia" w:eastAsiaTheme="majorEastAsia" w:hAnsiTheme="majorEastAsia" w:cs="Helv" w:hint="eastAsia"/>
          <w:bCs/>
          <w:sz w:val="18"/>
          <w:szCs w:val="20"/>
        </w:rPr>
        <w:t>・様々なアプリケーションに応用可能な1250</w:t>
      </w:r>
      <w:r w:rsidR="00DE2D1C"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～</w:t>
      </w:r>
      <w:r w:rsidR="004D1988">
        <w:rPr>
          <w:rFonts w:asciiTheme="majorEastAsia" w:eastAsiaTheme="majorEastAsia" w:hAnsiTheme="majorEastAsia" w:cs="Helv" w:hint="eastAsia"/>
          <w:bCs/>
          <w:sz w:val="18"/>
          <w:szCs w:val="20"/>
        </w:rPr>
        <w:t>1680</w:t>
      </w:r>
      <w:r w:rsidR="00050389">
        <w:rPr>
          <w:rFonts w:asciiTheme="majorEastAsia" w:eastAsiaTheme="majorEastAsia" w:hAnsiTheme="majorEastAsia" w:cs="Helv" w:hint="eastAsia"/>
          <w:bCs/>
          <w:sz w:val="18"/>
          <w:szCs w:val="20"/>
        </w:rPr>
        <w:t>nmm</w:t>
      </w:r>
      <w:r w:rsidR="004D1988">
        <w:rPr>
          <w:rFonts w:asciiTheme="majorEastAsia" w:eastAsiaTheme="majorEastAsia" w:hAnsiTheme="majorEastAsia" w:cs="Helv" w:hint="eastAsia"/>
          <w:bCs/>
          <w:sz w:val="18"/>
          <w:szCs w:val="20"/>
        </w:rPr>
        <w:t>の</w:t>
      </w:r>
      <w:r w:rsidR="00050389">
        <w:rPr>
          <w:rFonts w:asciiTheme="majorEastAsia" w:eastAsiaTheme="majorEastAsia" w:hAnsiTheme="majorEastAsia" w:cs="Helv" w:hint="eastAsia"/>
          <w:bCs/>
          <w:sz w:val="18"/>
          <w:szCs w:val="20"/>
        </w:rPr>
        <w:t>波長帯をラインナップ</w:t>
      </w:r>
      <w:r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・信号対自然放出光比（SSSER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）</w:t>
      </w: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90dB/0.1nm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の</w:t>
      </w: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実現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により、</w:t>
      </w: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広い測定ダイナミックレンジで測定可能</w:t>
      </w:r>
      <w:r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・連続（CW）発振で+13dBm(20mW)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を超えるピーク光出力の</w:t>
      </w: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実現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により</w:t>
      </w:r>
      <w:r w:rsidR="00E56A90">
        <w:rPr>
          <w:rFonts w:asciiTheme="majorEastAsia" w:eastAsiaTheme="majorEastAsia" w:hAnsiTheme="majorEastAsia" w:cs="Helv" w:hint="eastAsia"/>
          <w:bCs/>
          <w:sz w:val="18"/>
          <w:szCs w:val="20"/>
        </w:rPr>
        <w:t>、</w:t>
      </w: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挿入損失の大きい</w:t>
      </w:r>
      <w:r w:rsidR="00DD7D00">
        <w:rPr>
          <w:rFonts w:asciiTheme="majorEastAsia" w:eastAsiaTheme="majorEastAsia" w:hAnsiTheme="majorEastAsia" w:cs="Helv" w:hint="eastAsia"/>
          <w:bCs/>
          <w:sz w:val="18"/>
          <w:szCs w:val="20"/>
        </w:rPr>
        <w:t>光デバイス</w:t>
      </w:r>
      <w:r w:rsidR="007537B0">
        <w:rPr>
          <w:rFonts w:asciiTheme="majorEastAsia" w:eastAsiaTheme="majorEastAsia" w:hAnsiTheme="majorEastAsia" w:cs="Helv" w:hint="eastAsia"/>
          <w:bCs/>
          <w:sz w:val="18"/>
          <w:szCs w:val="20"/>
        </w:rPr>
        <w:t>やシリコンフォトニクスの光表面結合時でも安定して</w:t>
      </w:r>
      <w:r w:rsidRPr="006A1DBF">
        <w:rPr>
          <w:rFonts w:asciiTheme="majorEastAsia" w:eastAsiaTheme="majorEastAsia" w:hAnsiTheme="majorEastAsia" w:cs="Helv" w:hint="eastAsia"/>
          <w:bCs/>
          <w:sz w:val="18"/>
          <w:szCs w:val="20"/>
        </w:rPr>
        <w:t>使用</w:t>
      </w:r>
      <w:r w:rsidR="007537B0">
        <w:rPr>
          <w:rFonts w:asciiTheme="majorEastAsia" w:eastAsiaTheme="majorEastAsia" w:hAnsiTheme="majorEastAsia" w:cs="Helv" w:hint="eastAsia"/>
          <w:bCs/>
          <w:sz w:val="18"/>
          <w:szCs w:val="20"/>
        </w:rPr>
        <w:t>可能</w:t>
      </w:r>
      <w:r>
        <w:rPr>
          <w:rFonts w:asciiTheme="majorEastAsia" w:eastAsiaTheme="majorEastAsia" w:hAnsiTheme="majorEastAsia" w:cs="Helv"/>
          <w:bCs/>
          <w:sz w:val="18"/>
          <w:szCs w:val="20"/>
        </w:rPr>
        <w:br/>
      </w:r>
    </w:p>
    <w:p w:rsidR="0003736E" w:rsidRPr="0003736E" w:rsidRDefault="0003736E" w:rsidP="0003736E">
      <w:pPr>
        <w:rPr>
          <w:rFonts w:asciiTheme="majorEastAsia" w:eastAsiaTheme="majorEastAsia" w:hAnsiTheme="majorEastAsia" w:cs="Helv"/>
          <w:b/>
          <w:bCs/>
          <w:sz w:val="20"/>
          <w:szCs w:val="20"/>
          <w:u w:val="single"/>
        </w:rPr>
      </w:pPr>
      <w:r w:rsidRPr="0003736E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 xml:space="preserve">2.　</w:t>
      </w:r>
      <w:r w:rsidR="004D1988" w:rsidRPr="004D1988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優れた光学性能と品質</w:t>
      </w:r>
      <w:r w:rsidR="004D1988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の両立を実現</w:t>
      </w:r>
    </w:p>
    <w:p w:rsidR="0003736E" w:rsidRPr="00BE5E37" w:rsidRDefault="0003736E" w:rsidP="000F73D3">
      <w:pPr>
        <w:adjustRightInd w:val="0"/>
        <w:snapToGrid w:val="0"/>
        <w:spacing w:line="240" w:lineRule="auto"/>
        <w:ind w:leftChars="256" w:left="563"/>
        <w:rPr>
          <w:rFonts w:asciiTheme="majorEastAsia" w:eastAsiaTheme="majorEastAsia" w:hAnsiTheme="majorEastAsia" w:cs="Helv"/>
          <w:bCs/>
          <w:sz w:val="18"/>
          <w:szCs w:val="20"/>
        </w:rPr>
      </w:pPr>
      <w:r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・</w:t>
      </w:r>
      <w:r w:rsidR="007B462E">
        <w:rPr>
          <w:rFonts w:asciiTheme="majorEastAsia" w:eastAsiaTheme="majorEastAsia" w:hAnsiTheme="majorEastAsia" w:cs="Helv" w:hint="eastAsia"/>
          <w:bCs/>
          <w:sz w:val="18"/>
          <w:szCs w:val="20"/>
        </w:rPr>
        <w:t>新しい密閉型レーザ共振器</w:t>
      </w:r>
      <w:r w:rsidR="00DD7D00">
        <w:rPr>
          <w:rFonts w:asciiTheme="majorEastAsia" w:eastAsiaTheme="majorEastAsia" w:hAnsiTheme="majorEastAsia" w:cs="Helv" w:hint="eastAsia"/>
          <w:bCs/>
          <w:sz w:val="18"/>
          <w:szCs w:val="20"/>
        </w:rPr>
        <w:t>の採用であらゆる環境下でも安定した性能</w:t>
      </w:r>
      <w:r w:rsidR="009218C0"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="000F73D3">
        <w:rPr>
          <w:rFonts w:asciiTheme="majorEastAsia" w:eastAsiaTheme="majorEastAsia" w:hAnsiTheme="majorEastAsia" w:cs="Helv" w:hint="eastAsia"/>
          <w:bCs/>
          <w:sz w:val="18"/>
          <w:szCs w:val="20"/>
        </w:rPr>
        <w:t>・標準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保証</w:t>
      </w:r>
      <w:r w:rsidR="009218C0">
        <w:rPr>
          <w:rFonts w:asciiTheme="majorEastAsia" w:eastAsiaTheme="majorEastAsia" w:hAnsiTheme="majorEastAsia" w:cs="Helv" w:hint="eastAsia"/>
          <w:bCs/>
          <w:sz w:val="18"/>
          <w:szCs w:val="20"/>
        </w:rPr>
        <w:t>2年</w:t>
      </w:r>
      <w:r w:rsidR="003F3AD2" w:rsidRPr="00BE5E37">
        <w:rPr>
          <w:rFonts w:asciiTheme="majorEastAsia" w:eastAsiaTheme="majorEastAsia" w:hAnsiTheme="majorEastAsia" w:cs="Helv"/>
          <w:bCs/>
          <w:sz w:val="18"/>
          <w:szCs w:val="20"/>
        </w:rPr>
        <w:br/>
      </w:r>
    </w:p>
    <w:p w:rsidR="0003736E" w:rsidRPr="0003736E" w:rsidRDefault="0003736E" w:rsidP="0003736E">
      <w:pPr>
        <w:rPr>
          <w:rFonts w:asciiTheme="majorEastAsia" w:eastAsiaTheme="majorEastAsia" w:hAnsiTheme="majorEastAsia" w:cs="Helv"/>
          <w:b/>
          <w:bCs/>
          <w:sz w:val="20"/>
          <w:szCs w:val="20"/>
          <w:u w:val="single"/>
        </w:rPr>
      </w:pPr>
      <w:r w:rsidRPr="0003736E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3.　ユーザーフレンドリーなインターフェース</w:t>
      </w:r>
    </w:p>
    <w:p w:rsidR="0003736E" w:rsidRPr="0064523A" w:rsidRDefault="0003736E" w:rsidP="002B7F6E">
      <w:pPr>
        <w:ind w:leftChars="257" w:left="565" w:firstLine="2"/>
        <w:rPr>
          <w:rFonts w:asciiTheme="majorEastAsia" w:eastAsiaTheme="majorEastAsia" w:hAnsiTheme="majorEastAsia" w:cs="Helv"/>
          <w:bCs/>
          <w:sz w:val="18"/>
          <w:szCs w:val="20"/>
        </w:rPr>
      </w:pPr>
      <w:r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・直観的かつ視認性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に優れた</w:t>
      </w:r>
      <w:r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大型タッチスクリーンにより高い操作性を確保</w:t>
      </w:r>
      <w:r w:rsidR="006C44C8"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="000F73D3">
        <w:rPr>
          <w:rFonts w:asciiTheme="majorEastAsia" w:eastAsiaTheme="majorEastAsia" w:hAnsiTheme="majorEastAsia" w:cs="Helv" w:hint="eastAsia"/>
          <w:bCs/>
          <w:sz w:val="18"/>
          <w:szCs w:val="20"/>
        </w:rPr>
        <w:t>・</w:t>
      </w:r>
      <w:r w:rsidR="000F73D3"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プログラミングコマンド</w:t>
      </w:r>
      <w:r w:rsidR="000F73D3">
        <w:rPr>
          <w:rFonts w:asciiTheme="majorEastAsia" w:eastAsiaTheme="majorEastAsia" w:hAnsiTheme="majorEastAsia" w:cs="Helv" w:hint="eastAsia"/>
          <w:bCs/>
          <w:sz w:val="18"/>
          <w:szCs w:val="20"/>
        </w:rPr>
        <w:t>は従来機と</w:t>
      </w:r>
      <w:r w:rsidR="000F73D3"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互換性があり移行や拡張</w:t>
      </w:r>
      <w:r w:rsidR="000F73D3">
        <w:rPr>
          <w:rFonts w:asciiTheme="majorEastAsia" w:eastAsiaTheme="majorEastAsia" w:hAnsiTheme="majorEastAsia" w:cs="Helv" w:hint="eastAsia"/>
          <w:bCs/>
          <w:sz w:val="18"/>
          <w:szCs w:val="20"/>
        </w:rPr>
        <w:t>が容易</w:t>
      </w:r>
      <w:r w:rsidR="000F73D3"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・USB、GP-IBに加えEthernetによる通信制御が可能</w:t>
      </w:r>
      <w:r w:rsidR="002D224C"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="004D217B">
        <w:rPr>
          <w:rFonts w:asciiTheme="majorEastAsia" w:eastAsiaTheme="majorEastAsia" w:hAnsiTheme="majorEastAsia" w:cs="Helv" w:hint="eastAsia"/>
          <w:bCs/>
          <w:sz w:val="18"/>
          <w:szCs w:val="20"/>
        </w:rPr>
        <w:t>・Wake-On-LAN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機能の</w:t>
      </w:r>
      <w:r w:rsidR="00E56A90">
        <w:rPr>
          <w:rFonts w:asciiTheme="majorEastAsia" w:eastAsiaTheme="majorEastAsia" w:hAnsiTheme="majorEastAsia" w:cs="Helv" w:hint="eastAsia"/>
          <w:bCs/>
          <w:sz w:val="18"/>
          <w:szCs w:val="20"/>
        </w:rPr>
        <w:t>搭載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により、</w:t>
      </w:r>
      <w:r w:rsidR="004D217B">
        <w:rPr>
          <w:rFonts w:asciiTheme="majorEastAsia" w:eastAsiaTheme="majorEastAsia" w:hAnsiTheme="majorEastAsia" w:cs="Helv" w:hint="eastAsia"/>
          <w:bCs/>
          <w:sz w:val="18"/>
          <w:szCs w:val="20"/>
        </w:rPr>
        <w:t>遠隔操作で電源投入可能</w:t>
      </w:r>
      <w:r w:rsidR="006C44C8"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="006C44C8">
        <w:rPr>
          <w:rFonts w:asciiTheme="majorEastAsia" w:eastAsiaTheme="majorEastAsia" w:hAnsiTheme="majorEastAsia" w:cs="Helv" w:hint="eastAsia"/>
          <w:bCs/>
          <w:sz w:val="18"/>
          <w:szCs w:val="20"/>
        </w:rPr>
        <w:lastRenderedPageBreak/>
        <w:t>・</w:t>
      </w:r>
      <w:r w:rsidR="00DE2D1C">
        <w:rPr>
          <w:rFonts w:asciiTheme="majorEastAsia" w:eastAsiaTheme="majorEastAsia" w:hAnsiTheme="majorEastAsia" w:cs="Helv" w:hint="eastAsia"/>
          <w:bCs/>
          <w:sz w:val="18"/>
          <w:szCs w:val="20"/>
        </w:rPr>
        <w:t>USBメモリによる</w:t>
      </w:r>
      <w:r w:rsidR="006C44C8">
        <w:rPr>
          <w:rFonts w:asciiTheme="majorEastAsia" w:eastAsiaTheme="majorEastAsia" w:hAnsiTheme="majorEastAsia" w:cs="Helv" w:hint="eastAsia"/>
          <w:bCs/>
          <w:sz w:val="18"/>
          <w:szCs w:val="20"/>
        </w:rPr>
        <w:t>ファームウェアの更新が可能</w:t>
      </w:r>
      <w:r w:rsidR="002B7F6E">
        <w:rPr>
          <w:rFonts w:asciiTheme="majorEastAsia" w:eastAsiaTheme="majorEastAsia" w:hAnsiTheme="majorEastAsia" w:cs="Helv"/>
          <w:bCs/>
          <w:sz w:val="18"/>
          <w:szCs w:val="20"/>
        </w:rPr>
        <w:br/>
      </w:r>
    </w:p>
    <w:p w:rsidR="006E2312" w:rsidRPr="0064523A" w:rsidRDefault="00DE2D1C" w:rsidP="006E2312">
      <w:pPr>
        <w:rPr>
          <w:rFonts w:asciiTheme="majorEastAsia" w:eastAsiaTheme="majorEastAsia" w:hAnsiTheme="majorEastAsia" w:cs="Helv"/>
          <w:b/>
          <w:bCs/>
          <w:sz w:val="20"/>
          <w:szCs w:val="20"/>
          <w:u w:val="single"/>
        </w:rPr>
      </w:pPr>
      <w:r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4</w:t>
      </w:r>
      <w:r w:rsidR="00AA38AC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.</w:t>
      </w:r>
      <w:r w:rsidR="006E2312" w:rsidRPr="0064523A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 xml:space="preserve">　</w:t>
      </w:r>
      <w:r w:rsidR="003F3AD2" w:rsidRPr="0064523A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優れた</w:t>
      </w:r>
      <w:r w:rsidR="006E2312" w:rsidRPr="0064523A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拡張性</w:t>
      </w:r>
    </w:p>
    <w:p w:rsidR="003F3AD2" w:rsidRPr="0064523A" w:rsidRDefault="00BE5E37" w:rsidP="00A94584">
      <w:pPr>
        <w:ind w:leftChars="257" w:left="565" w:rightChars="-57" w:right="-125" w:firstLineChars="1" w:firstLine="2"/>
        <w:rPr>
          <w:rFonts w:asciiTheme="majorEastAsia" w:eastAsiaTheme="majorEastAsia" w:hAnsiTheme="majorEastAsia" w:cs="Helv"/>
          <w:bCs/>
          <w:sz w:val="18"/>
          <w:szCs w:val="20"/>
        </w:rPr>
      </w:pP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・</w:t>
      </w:r>
      <w:r w:rsidR="00D24F0D">
        <w:rPr>
          <w:rFonts w:asciiTheme="majorEastAsia" w:eastAsiaTheme="majorEastAsia" w:hAnsiTheme="majorEastAsia" w:cs="Helv" w:hint="eastAsia"/>
          <w:bCs/>
          <w:sz w:val="18"/>
          <w:szCs w:val="20"/>
        </w:rPr>
        <w:t>当社</w:t>
      </w:r>
      <w:r w:rsidR="00BB5872">
        <w:rPr>
          <w:rFonts w:asciiTheme="majorEastAsia" w:eastAsiaTheme="majorEastAsia" w:hAnsiTheme="majorEastAsia" w:cs="Helv" w:hint="eastAsia"/>
          <w:bCs/>
          <w:sz w:val="18"/>
          <w:szCs w:val="20"/>
        </w:rPr>
        <w:t>の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マルチチャンネル光パワーメータ</w:t>
      </w:r>
      <w:r w:rsidR="00DE2D1C">
        <w:rPr>
          <w:rFonts w:asciiTheme="majorEastAsia" w:eastAsiaTheme="majorEastAsia" w:hAnsiTheme="majorEastAsia" w:cs="Helv" w:hint="eastAsia"/>
          <w:bCs/>
          <w:sz w:val="18"/>
          <w:szCs w:val="20"/>
        </w:rPr>
        <w:t>(MPMシリーズ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)</w:t>
      </w:r>
      <w:r w:rsidR="00A94584">
        <w:rPr>
          <w:rFonts w:asciiTheme="majorEastAsia" w:eastAsiaTheme="majorEastAsia" w:hAnsiTheme="majorEastAsia" w:cs="Helv" w:hint="eastAsia"/>
          <w:bCs/>
          <w:sz w:val="18"/>
          <w:szCs w:val="20"/>
        </w:rPr>
        <w:t>・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偏波コントローラ</w:t>
      </w:r>
      <w:r w:rsidR="006C44C8">
        <w:rPr>
          <w:rFonts w:asciiTheme="majorEastAsia" w:eastAsiaTheme="majorEastAsia" w:hAnsiTheme="majorEastAsia" w:cs="Helv" w:hint="eastAsia"/>
          <w:bCs/>
          <w:sz w:val="18"/>
          <w:szCs w:val="20"/>
        </w:rPr>
        <w:t>(PCU-11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0)</w:t>
      </w:r>
      <w:r w:rsidR="0039400D">
        <w:rPr>
          <w:rFonts w:asciiTheme="majorEastAsia" w:eastAsiaTheme="majorEastAsia" w:hAnsiTheme="majorEastAsia" w:cs="Helv" w:hint="eastAsia"/>
          <w:bCs/>
          <w:sz w:val="18"/>
          <w:szCs w:val="20"/>
        </w:rPr>
        <w:t>と組合せ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、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WDL/PDL評価が可能</w:t>
      </w:r>
      <w:r w:rsidRPr="0064523A"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・</w:t>
      </w:r>
      <w:r w:rsidR="00DE2D1C">
        <w:rPr>
          <w:rFonts w:asciiTheme="majorEastAsia" w:eastAsiaTheme="majorEastAsia" w:hAnsiTheme="majorEastAsia" w:cs="Helv" w:hint="eastAsia"/>
          <w:bCs/>
          <w:sz w:val="18"/>
          <w:szCs w:val="20"/>
        </w:rPr>
        <w:t>最大4台の光源と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スイッチモジュール(OSU-100</w:t>
      </w:r>
      <w:r w:rsidRPr="0064523A">
        <w:rPr>
          <w:rFonts w:asciiTheme="majorEastAsia" w:eastAsiaTheme="majorEastAsia" w:hAnsiTheme="majorEastAsia" w:cs="Helv"/>
          <w:bCs/>
          <w:sz w:val="18"/>
          <w:szCs w:val="20"/>
        </w:rPr>
        <w:t>）</w:t>
      </w:r>
      <w:r w:rsidR="00A94584">
        <w:rPr>
          <w:rFonts w:asciiTheme="majorEastAsia" w:eastAsiaTheme="majorEastAsia" w:hAnsiTheme="majorEastAsia" w:cs="Helv" w:hint="eastAsia"/>
          <w:bCs/>
          <w:sz w:val="18"/>
          <w:szCs w:val="20"/>
        </w:rPr>
        <w:t>の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組合せ</w:t>
      </w:r>
      <w:r w:rsidR="00A94584">
        <w:rPr>
          <w:rFonts w:asciiTheme="majorEastAsia" w:eastAsiaTheme="majorEastAsia" w:hAnsiTheme="majorEastAsia" w:cs="Helv" w:hint="eastAsia"/>
          <w:bCs/>
          <w:sz w:val="18"/>
          <w:szCs w:val="20"/>
        </w:rPr>
        <w:t>により、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1250～</w:t>
      </w:r>
      <w:r w:rsidR="006C44C8">
        <w:rPr>
          <w:rFonts w:asciiTheme="majorEastAsia" w:eastAsiaTheme="majorEastAsia" w:hAnsiTheme="majorEastAsia" w:cs="Helv" w:hint="eastAsia"/>
          <w:bCs/>
          <w:sz w:val="18"/>
          <w:szCs w:val="20"/>
        </w:rPr>
        <w:t>168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0nm</w:t>
      </w:r>
      <w:r w:rsidR="00D24F0D">
        <w:rPr>
          <w:rFonts w:asciiTheme="majorEastAsia" w:eastAsiaTheme="majorEastAsia" w:hAnsiTheme="majorEastAsia" w:cs="Helv" w:hint="eastAsia"/>
          <w:bCs/>
          <w:sz w:val="18"/>
          <w:szCs w:val="20"/>
        </w:rPr>
        <w:t>の広帯域で</w:t>
      </w:r>
      <w:r w:rsidR="00BB5872">
        <w:rPr>
          <w:rFonts w:asciiTheme="majorEastAsia" w:eastAsiaTheme="majorEastAsia" w:hAnsiTheme="majorEastAsia" w:cs="Helv" w:hint="eastAsia"/>
          <w:bCs/>
          <w:sz w:val="18"/>
          <w:szCs w:val="20"/>
        </w:rPr>
        <w:t>連続波長掃引が可能</w:t>
      </w:r>
    </w:p>
    <w:p w:rsidR="00DE2D1C" w:rsidRPr="00AA38AC" w:rsidRDefault="00DE2D1C" w:rsidP="00DE2D1C">
      <w:pPr>
        <w:rPr>
          <w:rFonts w:asciiTheme="majorEastAsia" w:eastAsiaTheme="majorEastAsia" w:hAnsiTheme="majorEastAsia" w:cs="Helv"/>
          <w:b/>
          <w:bCs/>
          <w:sz w:val="20"/>
          <w:szCs w:val="20"/>
          <w:u w:val="single"/>
        </w:rPr>
      </w:pPr>
      <w:r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5</w:t>
      </w:r>
      <w:r w:rsidRPr="00AA38AC">
        <w:rPr>
          <w:rFonts w:asciiTheme="majorEastAsia" w:eastAsiaTheme="majorEastAsia" w:hAnsiTheme="majorEastAsia" w:cs="Helv" w:hint="eastAsia"/>
          <w:b/>
          <w:bCs/>
          <w:sz w:val="20"/>
          <w:szCs w:val="20"/>
          <w:u w:val="single"/>
        </w:rPr>
        <w:t>.  ワールドワイドなアフターサポート</w:t>
      </w:r>
    </w:p>
    <w:p w:rsidR="00DE2D1C" w:rsidRPr="00DE2D1C" w:rsidRDefault="00DE2D1C" w:rsidP="002D224C">
      <w:pPr>
        <w:ind w:leftChars="257" w:left="565" w:firstLine="2"/>
        <w:rPr>
          <w:rFonts w:asciiTheme="majorEastAsia" w:eastAsiaTheme="majorEastAsia" w:hAnsiTheme="majorEastAsia" w:cs="Helv"/>
          <w:bCs/>
          <w:sz w:val="20"/>
          <w:szCs w:val="20"/>
        </w:rPr>
      </w:pPr>
      <w:r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・自己診断機能に加え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、</w:t>
      </w:r>
      <w:r w:rsidRPr="00BE5E37">
        <w:rPr>
          <w:rFonts w:asciiTheme="majorEastAsia" w:eastAsiaTheme="majorEastAsia" w:hAnsiTheme="majorEastAsia" w:cs="Helv" w:hint="eastAsia"/>
          <w:bCs/>
          <w:sz w:val="18"/>
          <w:szCs w:val="20"/>
        </w:rPr>
        <w:t>インターネット経由での遠隔サポート</w:t>
      </w:r>
      <w:r w:rsidR="00D24F0D">
        <w:rPr>
          <w:rFonts w:asciiTheme="majorEastAsia" w:eastAsiaTheme="majorEastAsia" w:hAnsiTheme="majorEastAsia" w:cs="Helv" w:hint="eastAsia"/>
          <w:bCs/>
          <w:sz w:val="18"/>
          <w:szCs w:val="20"/>
        </w:rPr>
        <w:t>に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も</w:t>
      </w:r>
      <w:r w:rsidR="00D24F0D">
        <w:rPr>
          <w:rFonts w:asciiTheme="majorEastAsia" w:eastAsiaTheme="majorEastAsia" w:hAnsiTheme="majorEastAsia" w:cs="Helv" w:hint="eastAsia"/>
          <w:bCs/>
          <w:sz w:val="18"/>
          <w:szCs w:val="20"/>
        </w:rPr>
        <w:t>対応</w:t>
      </w:r>
      <w:r w:rsidRPr="00BE5E37">
        <w:rPr>
          <w:rFonts w:asciiTheme="majorEastAsia" w:eastAsiaTheme="majorEastAsia" w:hAnsiTheme="majorEastAsia" w:cs="Helv"/>
          <w:bCs/>
          <w:sz w:val="18"/>
          <w:szCs w:val="20"/>
        </w:rPr>
        <w:br/>
      </w:r>
      <w:r>
        <w:rPr>
          <w:rFonts w:asciiTheme="majorEastAsia" w:eastAsiaTheme="majorEastAsia" w:hAnsiTheme="majorEastAsia" w:cs="Helv" w:hint="eastAsia"/>
          <w:bCs/>
          <w:sz w:val="18"/>
          <w:szCs w:val="20"/>
        </w:rPr>
        <w:t>・修理・校正は</w:t>
      </w:r>
      <w:r w:rsidR="00D24F0D">
        <w:rPr>
          <w:rFonts w:asciiTheme="majorEastAsia" w:eastAsiaTheme="majorEastAsia" w:hAnsiTheme="majorEastAsia" w:cs="Helv" w:hint="eastAsia"/>
          <w:bCs/>
          <w:sz w:val="18"/>
          <w:szCs w:val="20"/>
        </w:rPr>
        <w:t>小牧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本社</w:t>
      </w:r>
      <w:r w:rsidR="00D24F0D">
        <w:rPr>
          <w:rFonts w:asciiTheme="majorEastAsia" w:eastAsiaTheme="majorEastAsia" w:hAnsiTheme="majorEastAsia" w:cs="Helv" w:hint="eastAsia"/>
          <w:bCs/>
          <w:sz w:val="18"/>
          <w:szCs w:val="20"/>
        </w:rPr>
        <w:t>工場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に加え</w:t>
      </w:r>
      <w:r w:rsidR="00E20465">
        <w:rPr>
          <w:rFonts w:asciiTheme="majorEastAsia" w:eastAsiaTheme="majorEastAsia" w:hAnsiTheme="majorEastAsia" w:cs="Helv" w:hint="eastAsia"/>
          <w:bCs/>
          <w:sz w:val="18"/>
          <w:szCs w:val="20"/>
        </w:rPr>
        <w:t>、</w:t>
      </w:r>
      <w:r w:rsidRPr="0064523A">
        <w:rPr>
          <w:rFonts w:asciiTheme="majorEastAsia" w:eastAsiaTheme="majorEastAsia" w:hAnsiTheme="majorEastAsia" w:cs="Helv" w:hint="eastAsia"/>
          <w:bCs/>
          <w:sz w:val="18"/>
          <w:szCs w:val="20"/>
        </w:rPr>
        <w:t>中国上海サポートセンターでも対応</w:t>
      </w:r>
      <w:r w:rsidR="00D24F0D">
        <w:rPr>
          <w:rFonts w:asciiTheme="majorEastAsia" w:eastAsiaTheme="majorEastAsia" w:hAnsiTheme="majorEastAsia" w:cs="Helv" w:hint="eastAsia"/>
          <w:bCs/>
          <w:sz w:val="18"/>
          <w:szCs w:val="20"/>
        </w:rPr>
        <w:t>可能</w:t>
      </w:r>
      <w:r w:rsidR="002D224C">
        <w:rPr>
          <w:rFonts w:asciiTheme="majorEastAsia" w:eastAsiaTheme="majorEastAsia" w:hAnsiTheme="majorEastAsia" w:cs="Helv"/>
          <w:bCs/>
          <w:sz w:val="18"/>
          <w:szCs w:val="20"/>
        </w:rPr>
        <w:br/>
      </w:r>
    </w:p>
    <w:p w:rsidR="0003736E" w:rsidRDefault="0003736E" w:rsidP="0003736E">
      <w:pPr>
        <w:rPr>
          <w:rFonts w:asciiTheme="majorEastAsia" w:eastAsiaTheme="majorEastAsia" w:hAnsiTheme="majorEastAsia" w:cs="Helv"/>
          <w:bCs/>
          <w:sz w:val="20"/>
          <w:szCs w:val="20"/>
        </w:rPr>
      </w:pP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受注開始日：20</w:t>
      </w:r>
      <w:r w:rsidR="006C44C8">
        <w:rPr>
          <w:rFonts w:asciiTheme="majorEastAsia" w:eastAsiaTheme="majorEastAsia" w:hAnsiTheme="majorEastAsia" w:cs="Helv" w:hint="eastAsia"/>
          <w:bCs/>
          <w:sz w:val="20"/>
          <w:szCs w:val="20"/>
        </w:rPr>
        <w:t>21</w:t>
      </w: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年</w:t>
      </w:r>
      <w:r w:rsidR="007B462E">
        <w:rPr>
          <w:rFonts w:asciiTheme="majorEastAsia" w:eastAsiaTheme="majorEastAsia" w:hAnsiTheme="majorEastAsia" w:cs="Helv" w:hint="eastAsia"/>
          <w:bCs/>
          <w:sz w:val="20"/>
          <w:szCs w:val="20"/>
        </w:rPr>
        <w:t>4</w:t>
      </w:r>
      <w:r w:rsidRPr="0003736E">
        <w:rPr>
          <w:rFonts w:asciiTheme="majorEastAsia" w:eastAsiaTheme="majorEastAsia" w:hAnsiTheme="majorEastAsia" w:cs="Helv" w:hint="eastAsia"/>
          <w:bCs/>
          <w:sz w:val="20"/>
          <w:szCs w:val="20"/>
        </w:rPr>
        <w:t>月1日</w:t>
      </w:r>
      <w:r>
        <w:rPr>
          <w:rFonts w:asciiTheme="majorEastAsia" w:eastAsiaTheme="majorEastAsia" w:hAnsiTheme="majorEastAsia" w:cs="Helv"/>
          <w:bCs/>
          <w:sz w:val="20"/>
          <w:szCs w:val="20"/>
        </w:rPr>
        <w:br/>
      </w:r>
    </w:p>
    <w:p w:rsidR="00D55993" w:rsidRPr="00D55993" w:rsidRDefault="00D55993" w:rsidP="00D55993">
      <w:pPr>
        <w:widowControl w:val="0"/>
        <w:spacing w:after="0" w:line="300" w:lineRule="exact"/>
        <w:jc w:val="both"/>
        <w:rPr>
          <w:rFonts w:asciiTheme="majorEastAsia" w:eastAsiaTheme="majorEastAsia" w:hAnsiTheme="majorEastAsia" w:cs="Times New Roman"/>
          <w:bCs/>
          <w:kern w:val="2"/>
          <w:sz w:val="18"/>
          <w:szCs w:val="21"/>
        </w:rPr>
      </w:pPr>
      <w:r w:rsidRPr="00D55993">
        <w:rPr>
          <w:rFonts w:asciiTheme="majorEastAsia" w:eastAsiaTheme="majorEastAsia" w:hAnsiTheme="majorEastAsia" w:cs="Times New Roman"/>
          <w:bCs/>
          <w:kern w:val="2"/>
          <w:sz w:val="18"/>
          <w:szCs w:val="21"/>
        </w:rPr>
        <w:t>santec株式会社について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8363"/>
      </w:tblGrid>
      <w:tr w:rsidR="00D55993" w:rsidRPr="00D55993" w:rsidTr="00D55993">
        <w:tc>
          <w:tcPr>
            <w:tcW w:w="1418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創業</w:t>
            </w:r>
          </w:p>
        </w:tc>
        <w:tc>
          <w:tcPr>
            <w:tcW w:w="8363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1979年</w:t>
            </w:r>
          </w:p>
        </w:tc>
      </w:tr>
      <w:tr w:rsidR="00D55993" w:rsidRPr="00D55993" w:rsidTr="00D55993">
        <w:tc>
          <w:tcPr>
            <w:tcW w:w="1418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業種</w:t>
            </w:r>
          </w:p>
        </w:tc>
        <w:tc>
          <w:tcPr>
            <w:tcW w:w="8363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光部品・光測定器</w:t>
            </w: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開発、</w:t>
            </w: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製造</w:t>
            </w: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、および</w:t>
            </w: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販売</w:t>
            </w:r>
          </w:p>
        </w:tc>
      </w:tr>
      <w:tr w:rsidR="00D55993" w:rsidRPr="00D55993" w:rsidTr="00D55993">
        <w:tc>
          <w:tcPr>
            <w:tcW w:w="1418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株式市場</w:t>
            </w:r>
          </w:p>
        </w:tc>
        <w:tc>
          <w:tcPr>
            <w:tcW w:w="8363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 xml:space="preserve">東京証券取引所　</w:t>
            </w: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JASDAQ市場</w:t>
            </w: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（</w:t>
            </w: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6777）</w:t>
            </w:r>
          </w:p>
        </w:tc>
      </w:tr>
      <w:tr w:rsidR="00D55993" w:rsidRPr="00D55993" w:rsidTr="00D55993">
        <w:tc>
          <w:tcPr>
            <w:tcW w:w="1418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本社</w:t>
            </w:r>
          </w:p>
        </w:tc>
        <w:tc>
          <w:tcPr>
            <w:tcW w:w="8363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愛知県小牧市</w:t>
            </w:r>
          </w:p>
        </w:tc>
      </w:tr>
      <w:tr w:rsidR="00D55993" w:rsidRPr="00D55993" w:rsidTr="00D55993">
        <w:tc>
          <w:tcPr>
            <w:tcW w:w="1418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従業員数</w:t>
            </w:r>
          </w:p>
        </w:tc>
        <w:tc>
          <w:tcPr>
            <w:tcW w:w="8363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254</w:t>
            </w: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名</w:t>
            </w:r>
          </w:p>
        </w:tc>
      </w:tr>
      <w:tr w:rsidR="00D55993" w:rsidRPr="00D55993" w:rsidTr="00D55993">
        <w:tc>
          <w:tcPr>
            <w:tcW w:w="1418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販売子会社</w:t>
            </w:r>
          </w:p>
        </w:tc>
        <w:tc>
          <w:tcPr>
            <w:tcW w:w="8363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米国（ニュージャージー州）、英国（ロンドン）、中国（上海市）</w:t>
            </w:r>
          </w:p>
        </w:tc>
      </w:tr>
      <w:tr w:rsidR="00D55993" w:rsidRPr="00D55993" w:rsidTr="00D55993">
        <w:tc>
          <w:tcPr>
            <w:tcW w:w="1418" w:type="dxa"/>
          </w:tcPr>
          <w:p w:rsidR="00D55993" w:rsidRPr="00D55993" w:rsidRDefault="00D55993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会社紹介</w:t>
            </w:r>
          </w:p>
        </w:tc>
        <w:tc>
          <w:tcPr>
            <w:tcW w:w="8363" w:type="dxa"/>
          </w:tcPr>
          <w:p w:rsidR="00D55993" w:rsidRPr="00D55993" w:rsidRDefault="00D55993" w:rsidP="00A94584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1984年に光ファイバ検査装置を世に送り出し、現在では</w:t>
            </w: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世界中の主要な通信事業者、</w:t>
            </w:r>
            <w:r w:rsidR="00A94584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光</w:t>
            </w:r>
            <w:r w:rsidRPr="00D55993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伝送装置</w:t>
            </w: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/サブシステムメーカー、最先端の研究</w:t>
            </w:r>
            <w:r w:rsidR="00A94584"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機関</w:t>
            </w:r>
            <w:r w:rsidRPr="00D55993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や大学等へ販売実績がある光技術のパイオニア企業である。</w:t>
            </w:r>
          </w:p>
        </w:tc>
      </w:tr>
      <w:tr w:rsidR="006E75BE" w:rsidRPr="00D55993" w:rsidTr="00D55993">
        <w:tc>
          <w:tcPr>
            <w:tcW w:w="1418" w:type="dxa"/>
          </w:tcPr>
          <w:p w:rsidR="006E75BE" w:rsidRPr="00D55993" w:rsidRDefault="006E75BE" w:rsidP="00D55993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bCs/>
                <w:sz w:val="18"/>
                <w:szCs w:val="21"/>
              </w:rPr>
              <w:t>Webサイト</w:t>
            </w:r>
          </w:p>
        </w:tc>
        <w:tc>
          <w:tcPr>
            <w:tcW w:w="8363" w:type="dxa"/>
          </w:tcPr>
          <w:p w:rsidR="006E75BE" w:rsidRPr="00D55993" w:rsidRDefault="006E75BE" w:rsidP="00A94584">
            <w:pPr>
              <w:widowControl w:val="0"/>
              <w:spacing w:line="300" w:lineRule="exact"/>
              <w:jc w:val="both"/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</w:pPr>
            <w:r w:rsidRPr="006E75BE">
              <w:rPr>
                <w:rFonts w:asciiTheme="majorEastAsia" w:eastAsiaTheme="majorEastAsia" w:hAnsiTheme="majorEastAsia" w:cs="Times New Roman"/>
                <w:bCs/>
                <w:sz w:val="18"/>
                <w:szCs w:val="21"/>
              </w:rPr>
              <w:t>https://www.santec.com/jp/</w:t>
            </w:r>
          </w:p>
        </w:tc>
      </w:tr>
    </w:tbl>
    <w:p w:rsidR="008300B8" w:rsidRDefault="008300B8" w:rsidP="0003736E">
      <w:pPr>
        <w:rPr>
          <w:rFonts w:asciiTheme="majorEastAsia" w:eastAsiaTheme="majorEastAsia" w:hAnsiTheme="majorEastAsia" w:cs="Helv"/>
          <w:bCs/>
          <w:sz w:val="18"/>
          <w:szCs w:val="20"/>
        </w:rPr>
      </w:pPr>
    </w:p>
    <w:p w:rsidR="008300B8" w:rsidRDefault="006E75BE" w:rsidP="006E75BE">
      <w:pPr>
        <w:rPr>
          <w:rFonts w:asciiTheme="majorEastAsia" w:eastAsiaTheme="majorEastAsia" w:hAnsiTheme="majorEastAsia" w:cs="Helv"/>
          <w:bCs/>
          <w:sz w:val="18"/>
          <w:szCs w:val="20"/>
        </w:rPr>
      </w:pPr>
      <w:r w:rsidRPr="006E75BE">
        <w:rPr>
          <w:rFonts w:asciiTheme="majorEastAsia" w:eastAsiaTheme="majorEastAsia" w:hAnsiTheme="majorEastAsia" w:cs="Helv" w:hint="eastAsia"/>
          <w:bCs/>
          <w:sz w:val="18"/>
          <w:szCs w:val="20"/>
        </w:rPr>
        <w:t>本件お問い合わせ先：</w:t>
      </w:r>
      <w:r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Pr="006E75BE">
        <w:rPr>
          <w:rFonts w:asciiTheme="majorEastAsia" w:eastAsiaTheme="majorEastAsia" w:hAnsiTheme="majorEastAsia" w:cs="Helv" w:hint="eastAsia"/>
          <w:bCs/>
          <w:sz w:val="18"/>
          <w:szCs w:val="20"/>
        </w:rPr>
        <w:t>santec株式会社</w:t>
      </w:r>
      <w:r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Pr="006E75BE">
        <w:rPr>
          <w:rFonts w:asciiTheme="majorEastAsia" w:eastAsiaTheme="majorEastAsia" w:hAnsiTheme="majorEastAsia" w:cs="Helv" w:hint="eastAsia"/>
          <w:bCs/>
          <w:sz w:val="18"/>
          <w:szCs w:val="20"/>
        </w:rPr>
        <w:t>愛知県小牧市大草年上坂5823番地</w:t>
      </w:r>
      <w:r>
        <w:rPr>
          <w:rFonts w:asciiTheme="majorEastAsia" w:eastAsiaTheme="majorEastAsia" w:hAnsiTheme="majorEastAsia" w:cs="Helv"/>
          <w:bCs/>
          <w:sz w:val="18"/>
          <w:szCs w:val="20"/>
        </w:rPr>
        <w:br/>
      </w:r>
      <w:r w:rsidRPr="006E75BE">
        <w:rPr>
          <w:rFonts w:asciiTheme="majorEastAsia" w:eastAsiaTheme="majorEastAsia" w:hAnsiTheme="majorEastAsia" w:cs="Helv" w:hint="eastAsia"/>
          <w:bCs/>
          <w:sz w:val="18"/>
          <w:szCs w:val="20"/>
        </w:rPr>
        <w:t>電話番号：0568-79-3536</w:t>
      </w:r>
      <w:r>
        <w:rPr>
          <w:rFonts w:asciiTheme="majorEastAsia" w:eastAsiaTheme="majorEastAsia" w:hAnsiTheme="majorEastAsia" w:cs="Helv"/>
          <w:bCs/>
          <w:sz w:val="18"/>
          <w:szCs w:val="20"/>
        </w:rPr>
        <w:br/>
      </w:r>
      <w:bookmarkStart w:id="0" w:name="_GoBack"/>
      <w:bookmarkEnd w:id="0"/>
      <w:r w:rsidRPr="006E75BE">
        <w:rPr>
          <w:rFonts w:asciiTheme="majorEastAsia" w:eastAsiaTheme="majorEastAsia" w:hAnsiTheme="majorEastAsia" w:cs="Helv" w:hint="eastAsia"/>
          <w:bCs/>
          <w:sz w:val="18"/>
          <w:szCs w:val="20"/>
        </w:rPr>
        <w:t>担当：日本営業グループ</w:t>
      </w:r>
    </w:p>
    <w:p w:rsidR="008300B8" w:rsidRPr="002B7F6E" w:rsidRDefault="008300B8" w:rsidP="0003736E">
      <w:pPr>
        <w:rPr>
          <w:rFonts w:asciiTheme="majorEastAsia" w:eastAsiaTheme="majorEastAsia" w:hAnsiTheme="majorEastAsia" w:cs="Helv"/>
          <w:bCs/>
          <w:sz w:val="18"/>
          <w:szCs w:val="20"/>
        </w:rPr>
      </w:pPr>
    </w:p>
    <w:p w:rsidR="008300B8" w:rsidRDefault="008300B8" w:rsidP="0003736E">
      <w:pPr>
        <w:rPr>
          <w:rFonts w:asciiTheme="majorEastAsia" w:eastAsiaTheme="majorEastAsia" w:hAnsiTheme="majorEastAsia" w:cs="Helv"/>
          <w:bCs/>
          <w:sz w:val="18"/>
          <w:szCs w:val="20"/>
        </w:rPr>
      </w:pPr>
    </w:p>
    <w:p w:rsidR="008300B8" w:rsidRDefault="008300B8" w:rsidP="0003736E">
      <w:pPr>
        <w:rPr>
          <w:rFonts w:asciiTheme="majorEastAsia" w:eastAsiaTheme="majorEastAsia" w:hAnsiTheme="majorEastAsia" w:cs="Helv"/>
          <w:bCs/>
          <w:sz w:val="18"/>
          <w:szCs w:val="20"/>
        </w:rPr>
      </w:pPr>
    </w:p>
    <w:p w:rsidR="008300B8" w:rsidRDefault="008300B8" w:rsidP="0003736E">
      <w:pPr>
        <w:rPr>
          <w:rFonts w:asciiTheme="majorEastAsia" w:eastAsiaTheme="majorEastAsia" w:hAnsiTheme="majorEastAsia" w:cs="Helv"/>
          <w:bCs/>
          <w:sz w:val="18"/>
          <w:szCs w:val="20"/>
        </w:rPr>
      </w:pPr>
    </w:p>
    <w:p w:rsidR="008300B8" w:rsidRDefault="008300B8" w:rsidP="0003736E">
      <w:pPr>
        <w:rPr>
          <w:rFonts w:asciiTheme="majorEastAsia" w:eastAsiaTheme="majorEastAsia" w:hAnsiTheme="majorEastAsia" w:cs="Helv"/>
          <w:bCs/>
          <w:sz w:val="18"/>
          <w:szCs w:val="20"/>
        </w:rPr>
      </w:pPr>
    </w:p>
    <w:p w:rsidR="008300B8" w:rsidRDefault="008300B8" w:rsidP="0003736E">
      <w:pPr>
        <w:rPr>
          <w:rFonts w:asciiTheme="majorEastAsia" w:eastAsiaTheme="majorEastAsia" w:hAnsiTheme="majorEastAsia" w:cs="Helv"/>
          <w:bCs/>
          <w:sz w:val="18"/>
          <w:szCs w:val="20"/>
        </w:rPr>
      </w:pPr>
    </w:p>
    <w:p w:rsidR="008300B8" w:rsidRDefault="008300B8" w:rsidP="0003736E">
      <w:pPr>
        <w:rPr>
          <w:rFonts w:asciiTheme="majorEastAsia" w:eastAsiaTheme="majorEastAsia" w:hAnsiTheme="majorEastAsia" w:cs="Helv"/>
          <w:bCs/>
          <w:sz w:val="18"/>
          <w:szCs w:val="20"/>
        </w:rPr>
      </w:pPr>
    </w:p>
    <w:p w:rsidR="000F73D3" w:rsidRDefault="000F73D3">
      <w:pPr>
        <w:rPr>
          <w:rFonts w:asciiTheme="majorEastAsia" w:eastAsiaTheme="majorEastAsia" w:hAnsiTheme="majorEastAsia" w:cs="Helv"/>
          <w:bCs/>
          <w:sz w:val="18"/>
          <w:szCs w:val="20"/>
        </w:rPr>
      </w:pPr>
    </w:p>
    <w:sectPr w:rsidR="000F73D3" w:rsidSect="000B18D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6BDB" w:rsidRDefault="004A6BDB" w:rsidP="00F14F17">
      <w:pPr>
        <w:spacing w:after="0" w:line="240" w:lineRule="auto"/>
      </w:pPr>
      <w:r>
        <w:separator/>
      </w:r>
    </w:p>
  </w:endnote>
  <w:endnote w:type="continuationSeparator" w:id="0">
    <w:p w:rsidR="004A6BDB" w:rsidRDefault="004A6BDB" w:rsidP="00F14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6BDB" w:rsidRDefault="004A6BDB" w:rsidP="00F14F17">
      <w:pPr>
        <w:spacing w:after="0" w:line="240" w:lineRule="auto"/>
      </w:pPr>
      <w:r>
        <w:separator/>
      </w:r>
    </w:p>
  </w:footnote>
  <w:footnote w:type="continuationSeparator" w:id="0">
    <w:p w:rsidR="004A6BDB" w:rsidRDefault="004A6BDB" w:rsidP="00F14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025F73"/>
    <w:multiLevelType w:val="hybridMultilevel"/>
    <w:tmpl w:val="1510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B1B1B"/>
    <w:multiLevelType w:val="hybridMultilevel"/>
    <w:tmpl w:val="42681E4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43071ED0"/>
    <w:multiLevelType w:val="hybridMultilevel"/>
    <w:tmpl w:val="E642140E"/>
    <w:lvl w:ilvl="0" w:tplc="DCD8D4F8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Helv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16B2F"/>
    <w:multiLevelType w:val="hybridMultilevel"/>
    <w:tmpl w:val="42E84D96"/>
    <w:lvl w:ilvl="0" w:tplc="E36EA01C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Helv" w:hint="eastAsia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74A7B"/>
    <w:multiLevelType w:val="hybridMultilevel"/>
    <w:tmpl w:val="12CA5072"/>
    <w:lvl w:ilvl="0" w:tplc="BED6C10C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Helv" w:hint="eastAsia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0846"/>
    <w:multiLevelType w:val="hybridMultilevel"/>
    <w:tmpl w:val="9ADC64DC"/>
    <w:lvl w:ilvl="0" w:tplc="E36EA01C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Helv" w:hint="eastAsia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2A"/>
    <w:rsid w:val="00005BDF"/>
    <w:rsid w:val="00035542"/>
    <w:rsid w:val="0003736E"/>
    <w:rsid w:val="00050389"/>
    <w:rsid w:val="000630FF"/>
    <w:rsid w:val="0008576C"/>
    <w:rsid w:val="000B18D5"/>
    <w:rsid w:val="000B1E9E"/>
    <w:rsid w:val="000C297D"/>
    <w:rsid w:val="000F4D1A"/>
    <w:rsid w:val="000F73D3"/>
    <w:rsid w:val="00120411"/>
    <w:rsid w:val="0012247C"/>
    <w:rsid w:val="001558CB"/>
    <w:rsid w:val="00161AAA"/>
    <w:rsid w:val="00165999"/>
    <w:rsid w:val="001D1DB3"/>
    <w:rsid w:val="001E7778"/>
    <w:rsid w:val="001F3259"/>
    <w:rsid w:val="001F6124"/>
    <w:rsid w:val="00204810"/>
    <w:rsid w:val="00243A85"/>
    <w:rsid w:val="00280A52"/>
    <w:rsid w:val="002B2E1E"/>
    <w:rsid w:val="002B7F6E"/>
    <w:rsid w:val="002C0973"/>
    <w:rsid w:val="002D0487"/>
    <w:rsid w:val="002D224C"/>
    <w:rsid w:val="002F5B55"/>
    <w:rsid w:val="00317665"/>
    <w:rsid w:val="0039400D"/>
    <w:rsid w:val="003B726B"/>
    <w:rsid w:val="003F3AD2"/>
    <w:rsid w:val="00402F42"/>
    <w:rsid w:val="00450FDA"/>
    <w:rsid w:val="0045583C"/>
    <w:rsid w:val="004703B6"/>
    <w:rsid w:val="004A6BDB"/>
    <w:rsid w:val="004D1988"/>
    <w:rsid w:val="004D217B"/>
    <w:rsid w:val="005245B2"/>
    <w:rsid w:val="00525C5C"/>
    <w:rsid w:val="00556894"/>
    <w:rsid w:val="005D2967"/>
    <w:rsid w:val="005F2F4F"/>
    <w:rsid w:val="0064523A"/>
    <w:rsid w:val="0066267A"/>
    <w:rsid w:val="00664F80"/>
    <w:rsid w:val="006A1DBF"/>
    <w:rsid w:val="006A365D"/>
    <w:rsid w:val="006A70AB"/>
    <w:rsid w:val="006B3A76"/>
    <w:rsid w:val="006C44C8"/>
    <w:rsid w:val="006C6D17"/>
    <w:rsid w:val="006E2312"/>
    <w:rsid w:val="006E75BE"/>
    <w:rsid w:val="00724DEC"/>
    <w:rsid w:val="007537B0"/>
    <w:rsid w:val="00760BDE"/>
    <w:rsid w:val="00783D70"/>
    <w:rsid w:val="00797213"/>
    <w:rsid w:val="007A2790"/>
    <w:rsid w:val="007A5CBC"/>
    <w:rsid w:val="007B462E"/>
    <w:rsid w:val="007D5275"/>
    <w:rsid w:val="007E272A"/>
    <w:rsid w:val="008300B8"/>
    <w:rsid w:val="00843A1D"/>
    <w:rsid w:val="008B07D4"/>
    <w:rsid w:val="008D1396"/>
    <w:rsid w:val="008E42D7"/>
    <w:rsid w:val="00906DBC"/>
    <w:rsid w:val="009218C0"/>
    <w:rsid w:val="00955BF9"/>
    <w:rsid w:val="00985BAE"/>
    <w:rsid w:val="00987C24"/>
    <w:rsid w:val="00995728"/>
    <w:rsid w:val="00A11614"/>
    <w:rsid w:val="00A5304D"/>
    <w:rsid w:val="00A81068"/>
    <w:rsid w:val="00A94584"/>
    <w:rsid w:val="00A95C90"/>
    <w:rsid w:val="00AA24FE"/>
    <w:rsid w:val="00AA38AC"/>
    <w:rsid w:val="00B05DF4"/>
    <w:rsid w:val="00B145F8"/>
    <w:rsid w:val="00B6310F"/>
    <w:rsid w:val="00B66FCB"/>
    <w:rsid w:val="00BA73C5"/>
    <w:rsid w:val="00BB5872"/>
    <w:rsid w:val="00BC5ED9"/>
    <w:rsid w:val="00BC6DF5"/>
    <w:rsid w:val="00BD0314"/>
    <w:rsid w:val="00BD3D2A"/>
    <w:rsid w:val="00BE5E37"/>
    <w:rsid w:val="00C6712F"/>
    <w:rsid w:val="00C938DC"/>
    <w:rsid w:val="00CA7052"/>
    <w:rsid w:val="00CC4577"/>
    <w:rsid w:val="00D0079B"/>
    <w:rsid w:val="00D24F0D"/>
    <w:rsid w:val="00D50F43"/>
    <w:rsid w:val="00D55993"/>
    <w:rsid w:val="00D61CCD"/>
    <w:rsid w:val="00D662F2"/>
    <w:rsid w:val="00D85EC1"/>
    <w:rsid w:val="00DD7D00"/>
    <w:rsid w:val="00DE2D1C"/>
    <w:rsid w:val="00E20465"/>
    <w:rsid w:val="00E2157C"/>
    <w:rsid w:val="00E56A90"/>
    <w:rsid w:val="00E700AE"/>
    <w:rsid w:val="00E73FDD"/>
    <w:rsid w:val="00E771F4"/>
    <w:rsid w:val="00E82160"/>
    <w:rsid w:val="00EB091E"/>
    <w:rsid w:val="00F039FD"/>
    <w:rsid w:val="00F14F17"/>
    <w:rsid w:val="00F23BA4"/>
    <w:rsid w:val="00F25544"/>
    <w:rsid w:val="00F41CC8"/>
    <w:rsid w:val="00F67DFF"/>
    <w:rsid w:val="00F70FB3"/>
    <w:rsid w:val="00F73BF2"/>
    <w:rsid w:val="00FA3087"/>
    <w:rsid w:val="00FA4708"/>
    <w:rsid w:val="00FB5A7E"/>
    <w:rsid w:val="00FE381A"/>
    <w:rsid w:val="00FE632E"/>
    <w:rsid w:val="00FE7F89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F8F89-2104-4BD3-98AA-46686B98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0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231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E23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14F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4F17"/>
  </w:style>
  <w:style w:type="paragraph" w:styleId="a8">
    <w:name w:val="footer"/>
    <w:basedOn w:val="a"/>
    <w:link w:val="a9"/>
    <w:uiPriority w:val="99"/>
    <w:unhideWhenUsed/>
    <w:rsid w:val="00F14F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4F17"/>
  </w:style>
  <w:style w:type="table" w:styleId="aa">
    <w:name w:val="Table Grid"/>
    <w:basedOn w:val="a1"/>
    <w:uiPriority w:val="39"/>
    <w:rsid w:val="00D55993"/>
    <w:pPr>
      <w:spacing w:after="0" w:line="240" w:lineRule="auto"/>
    </w:pPr>
    <w:rPr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4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71487-A241-4409-BCEF-09F39A1C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Davala Michael</dc:creator>
  <cp:keywords/>
  <dc:description/>
  <cp:lastModifiedBy>粕谷 英明</cp:lastModifiedBy>
  <cp:revision>4</cp:revision>
  <cp:lastPrinted>2021-03-03T09:10:00Z</cp:lastPrinted>
  <dcterms:created xsi:type="dcterms:W3CDTF">2021-03-03T09:09:00Z</dcterms:created>
  <dcterms:modified xsi:type="dcterms:W3CDTF">2021-03-03T23:56:00Z</dcterms:modified>
</cp:coreProperties>
</file>