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7692" w14:textId="65D8108E" w:rsidR="00946C4E" w:rsidRPr="00946C4E" w:rsidRDefault="006A33BD" w:rsidP="00946C4E">
      <w:pPr>
        <w:widowControl w:val="0"/>
        <w:autoSpaceDE w:val="0"/>
        <w:autoSpaceDN w:val="0"/>
        <w:adjustRightInd w:val="0"/>
        <w:spacing w:after="0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 xml:space="preserve">　</w:t>
      </w:r>
      <w:r w:rsidR="00946C4E"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202</w:t>
      </w:r>
      <w:r w:rsidR="0065151F"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>4</w:t>
      </w:r>
      <w:r w:rsidR="00946C4E"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年</w:t>
      </w:r>
      <w:r w:rsidR="00F85943"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>10</w:t>
      </w:r>
      <w:r w:rsidR="00946C4E"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月</w:t>
      </w:r>
      <w:r w:rsidR="00806AAA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1</w:t>
      </w:r>
      <w:r w:rsidR="006F6EBB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8</w:t>
      </w:r>
      <w:r w:rsidR="00946C4E"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日</w:t>
      </w:r>
    </w:p>
    <w:p w14:paraId="131485ED" w14:textId="77777777" w:rsidR="00946C4E" w:rsidRPr="00946C4E" w:rsidRDefault="00946C4E" w:rsidP="00946C4E">
      <w:pPr>
        <w:widowControl w:val="0"/>
        <w:autoSpaceDE w:val="0"/>
        <w:autoSpaceDN w:val="0"/>
        <w:adjustRightInd w:val="0"/>
        <w:spacing w:after="0"/>
        <w:jc w:val="both"/>
        <w:rPr>
          <w:rFonts w:ascii="ＭＳ Ｐゴシック" w:eastAsia="ＭＳ Ｐゴシック" w:hAnsi="ＭＳ Ｐゴシック" w:cs="Times New Roman"/>
          <w:kern w:val="0"/>
          <w:sz w:val="20"/>
          <w:szCs w:val="20"/>
        </w:rPr>
      </w:pPr>
      <w:r w:rsidRPr="00946C4E">
        <w:rPr>
          <w:rFonts w:ascii="ＭＳ Ｐゴシック" w:eastAsia="ＭＳ Ｐゴシック" w:hAnsi="ＭＳ Ｐゴシック" w:cs="Times New Roman"/>
          <w:sz w:val="32"/>
          <w:szCs w:val="32"/>
        </w:rPr>
        <w:t>PRESS INFORMATION</w:t>
      </w:r>
    </w:p>
    <w:p w14:paraId="15628222" w14:textId="77777777" w:rsidR="00946C4E" w:rsidRPr="00946C4E" w:rsidRDefault="00946C4E" w:rsidP="00946C4E">
      <w:pPr>
        <w:widowControl w:val="0"/>
        <w:autoSpaceDE w:val="0"/>
        <w:autoSpaceDN w:val="0"/>
        <w:adjustRightInd w:val="0"/>
        <w:spacing w:after="0"/>
        <w:ind w:right="-136"/>
        <w:jc w:val="both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val="ja-JP"/>
        </w:rPr>
        <w:t>報道関係の皆さま</w:t>
      </w:r>
    </w:p>
    <w:p w14:paraId="7F270C31" w14:textId="695FF7A1" w:rsidR="00946C4E" w:rsidRPr="00946C4E" w:rsidRDefault="00946C4E" w:rsidP="00946C4E">
      <w:pPr>
        <w:widowControl w:val="0"/>
        <w:wordWrap w:val="0"/>
        <w:autoSpaceDE w:val="0"/>
        <w:autoSpaceDN w:val="0"/>
        <w:adjustRightInd w:val="0"/>
        <w:spacing w:after="0"/>
        <w:ind w:left="6480" w:right="-136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株式会社 ノジマ</w:t>
      </w:r>
      <w:bookmarkStart w:id="0" w:name="OLE_LINK1"/>
      <w:r w:rsidRPr="00946C4E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</w:t>
      </w:r>
    </w:p>
    <w:p w14:paraId="1552CD1C" w14:textId="77777777" w:rsidR="00946C4E" w:rsidRPr="00946C4E" w:rsidRDefault="00946C4E" w:rsidP="00946C4E">
      <w:pPr>
        <w:widowControl w:val="0"/>
        <w:autoSpaceDE w:val="0"/>
        <w:autoSpaceDN w:val="0"/>
        <w:adjustRightInd w:val="0"/>
        <w:spacing w:after="0"/>
        <w:ind w:left="6480" w:right="-136"/>
        <w:jc w:val="right"/>
        <w:rPr>
          <w:rFonts w:ascii="Century" w:eastAsia="ＭＳ 明朝" w:hAnsi="Century" w:cs="Times New Roman"/>
          <w:kern w:val="0"/>
          <w:sz w:val="18"/>
          <w:szCs w:val="24"/>
        </w:rPr>
      </w:pPr>
    </w:p>
    <w:p w14:paraId="3BF4F6C2" w14:textId="4FD3D695" w:rsidR="00374E21" w:rsidRDefault="00374E21" w:rsidP="0033011E">
      <w:pPr>
        <w:widowControl w:val="0"/>
        <w:autoSpaceDE w:val="0"/>
        <w:autoSpaceDN w:val="0"/>
        <w:adjustRightInd w:val="0"/>
        <w:spacing w:after="0"/>
        <w:jc w:val="center"/>
        <w:rPr>
          <w:rFonts w:ascii="HGP創英角ｺﾞｼｯｸUB" w:eastAsia="HGP創英角ｺﾞｼｯｸUB" w:hAnsi="HGP創英角ｺﾞｼｯｸUB" w:cs="Times New Roman"/>
          <w:bCs/>
          <w:kern w:val="0"/>
          <w:sz w:val="32"/>
          <w:szCs w:val="32"/>
          <w:u w:val="single"/>
        </w:rPr>
      </w:pPr>
      <w:r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3年連続1万円の</w:t>
      </w:r>
      <w:r w:rsidR="008913DA"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ベースアップ</w:t>
      </w:r>
      <w:r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、</w:t>
      </w:r>
    </w:p>
    <w:p w14:paraId="1B451A50" w14:textId="4DBB0E19" w:rsidR="00374E21" w:rsidRPr="00901075" w:rsidRDefault="00712558">
      <w:pPr>
        <w:widowControl w:val="0"/>
        <w:autoSpaceDE w:val="0"/>
        <w:autoSpaceDN w:val="0"/>
        <w:adjustRightInd w:val="0"/>
        <w:spacing w:after="0"/>
        <w:jc w:val="center"/>
        <w:rPr>
          <w:rFonts w:ascii="HGP創英角ｺﾞｼｯｸUB" w:eastAsia="HGP創英角ｺﾞｼｯｸUB" w:hAnsi="HGP創英角ｺﾞｼｯｸUB" w:cs="Times New Roman"/>
          <w:bCs/>
          <w:kern w:val="0"/>
          <w:sz w:val="32"/>
          <w:szCs w:val="32"/>
          <w:u w:val="single"/>
        </w:rPr>
      </w:pPr>
      <w:r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初任給</w:t>
      </w:r>
      <w:r w:rsidR="008913DA"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は業界最高水準の</w:t>
      </w:r>
      <w:r>
        <w:rPr>
          <w:rFonts w:ascii="HGP創英角ｺﾞｼｯｸUB" w:eastAsia="HGP創英角ｺﾞｼｯｸUB" w:hAnsi="HGP創英角ｺﾞｼｯｸUB" w:cs="Times New Roman" w:hint="eastAsia"/>
          <w:bCs/>
          <w:kern w:val="0"/>
          <w:sz w:val="32"/>
          <w:szCs w:val="32"/>
          <w:u w:val="single"/>
        </w:rPr>
        <w:t>30万円へ</w:t>
      </w:r>
    </w:p>
    <w:p w14:paraId="4841F827" w14:textId="77777777" w:rsidR="00374E21" w:rsidRDefault="00374E21" w:rsidP="0033011E">
      <w:pPr>
        <w:widowControl w:val="0"/>
        <w:autoSpaceDE w:val="0"/>
        <w:autoSpaceDN w:val="0"/>
        <w:adjustRightInd w:val="0"/>
        <w:spacing w:after="0"/>
        <w:jc w:val="center"/>
        <w:rPr>
          <w:rFonts w:ascii="HGP創英角ｺﾞｼｯｸUB" w:eastAsia="HGP創英角ｺﾞｼｯｸUB" w:hAnsi="HGP創英角ｺﾞｼｯｸUB" w:cs="Times New Roman"/>
          <w:bCs/>
          <w:kern w:val="0"/>
          <w:sz w:val="32"/>
          <w:szCs w:val="32"/>
          <w:u w:val="single"/>
        </w:rPr>
      </w:pPr>
    </w:p>
    <w:bookmarkEnd w:id="0"/>
    <w:p w14:paraId="6F12D25B" w14:textId="6B322F42" w:rsidR="001550A2" w:rsidRDefault="00946C4E" w:rsidP="00F410E8">
      <w:pPr>
        <w:spacing w:after="5" w:line="248" w:lineRule="auto"/>
        <w:ind w:left="-15" w:firstLine="211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株式会社ノジマ（神奈川県横浜市、代表執行役社長 野島廣司</w:t>
      </w:r>
      <w:r w:rsidR="00731FA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</w:t>
      </w:r>
      <w:r w:rsidR="00261FE9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以下「ノジマ」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）は、</w:t>
      </w:r>
      <w:r w:rsidR="0010279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このたび、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初任給を含む</w:t>
      </w:r>
      <w:r w:rsidR="0010279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基本給の改定および手当の新設を決定しました。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全</w:t>
      </w:r>
      <w:r w:rsidR="00F65B8C"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従業員</w:t>
      </w:r>
      <w:r w:rsidR="00B8073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（</w:t>
      </w:r>
      <w:r w:rsidR="00F65B8C" w:rsidRPr="00A9388F">
        <w:rPr>
          <w:rFonts w:ascii="ＭＳ ゴシック" w:eastAsia="ＭＳ ゴシック" w:hAnsi="ＭＳ ゴシック" w:cs="ＭＳ ゴシック"/>
          <w14:ligatures w14:val="standardContextual"/>
        </w:rPr>
        <w:t>約3,000名</w:t>
      </w:r>
      <w:r w:rsidR="00B80732">
        <w:rPr>
          <w:rFonts w:ascii="ＭＳ ゴシック" w:eastAsia="ＭＳ ゴシック" w:hAnsi="ＭＳ ゴシック" w:cs="ＭＳ ゴシック" w:hint="eastAsia"/>
          <w14:ligatures w14:val="standardContextual"/>
        </w:rPr>
        <w:t>）</w:t>
      </w:r>
      <w:r w:rsidR="00F65B8C" w:rsidRPr="00A9388F">
        <w:rPr>
          <w:rFonts w:ascii="ＭＳ ゴシック" w:eastAsia="ＭＳ ゴシック" w:hAnsi="ＭＳ ゴシック" w:cs="ＭＳ ゴシック"/>
          <w14:ligatures w14:val="standardContextual"/>
        </w:rPr>
        <w:t>を</w:t>
      </w:r>
      <w:r w:rsidR="00F65B8C"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対象に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>202</w:t>
      </w:r>
      <w:r w:rsidR="00B4709F">
        <w:rPr>
          <w:rFonts w:ascii="ＭＳ ゴシック" w:eastAsia="ＭＳ ゴシック" w:hAnsi="ＭＳ ゴシック" w:cs="ＭＳ ゴシック"/>
          <w14:ligatures w14:val="standardContextual"/>
        </w:rPr>
        <w:t>5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>年1月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から</w:t>
      </w:r>
      <w:r w:rsidR="0035463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月額1万円の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ベースアップ</w:t>
      </w:r>
      <w:r w:rsidR="00201779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を実施</w:t>
      </w:r>
      <w:r w:rsidR="006105F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するとともに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</w:t>
      </w:r>
      <w:r w:rsidR="001550A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現場で働く</w:t>
      </w:r>
      <w:r w:rsidR="00201779" w:rsidRPr="00201779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従業員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（</w:t>
      </w:r>
      <w:r w:rsidR="00141F1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約2</w:t>
      </w:r>
      <w:r w:rsidR="00141F15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,</w:t>
      </w:r>
      <w:r w:rsidR="000433D9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6</w:t>
      </w:r>
      <w:r w:rsidR="00141F15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00</w:t>
      </w:r>
      <w:r w:rsidR="00141F1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名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）</w:t>
      </w:r>
      <w:r w:rsidR="00141F1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を対象に</w:t>
      </w:r>
      <w:r w:rsidR="0061386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2025年4月から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最大2万5千円の「現場手当」を</w:t>
      </w:r>
      <w:r w:rsidR="00B8073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新規に</w:t>
      </w:r>
      <w:r w:rsidR="00141F1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支給する</w:t>
      </w:r>
      <w:r w:rsidR="00F65B8C"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給与改定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を行います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。</w:t>
      </w:r>
    </w:p>
    <w:p w14:paraId="053A91D3" w14:textId="0A3337D8" w:rsidR="00710067" w:rsidRDefault="00201779">
      <w:pPr>
        <w:spacing w:after="5" w:line="248" w:lineRule="auto"/>
        <w:ind w:left="-15" w:firstLine="211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これにより、2025年度新入社員の初任給</w:t>
      </w:r>
      <w:r w:rsidR="006105F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（大学卒）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は</w:t>
      </w:r>
      <w:r w:rsidRPr="00806AAA">
        <w:rPr>
          <w:rFonts w:ascii="ＭＳ ゴシック" w:eastAsia="ＭＳ ゴシック" w:hAnsi="ＭＳ ゴシック" w:cs="ＭＳ ゴシック" w:hint="eastAsia"/>
          <w:color w:val="000000" w:themeColor="text1"/>
          <w14:ligatures w14:val="standardContextual"/>
        </w:rPr>
        <w:t>家電量販業界</w:t>
      </w:r>
      <w:r w:rsidR="00B80732" w:rsidRPr="00806AAA">
        <w:rPr>
          <w:rFonts w:ascii="ＭＳ ゴシック" w:eastAsia="ＭＳ ゴシック" w:hAnsi="ＭＳ ゴシック" w:cs="ＭＳ ゴシック" w:hint="eastAsia"/>
          <w:color w:val="000000" w:themeColor="text1"/>
          <w14:ligatures w14:val="standardContextual"/>
        </w:rPr>
        <w:t>最高水準</w:t>
      </w:r>
      <w:r w:rsidR="001550A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30万円</w:t>
      </w:r>
      <w:r w:rsidR="00710067" w:rsidRPr="00806AAA">
        <w:rPr>
          <w:rFonts w:ascii="ＭＳ ゴシック" w:eastAsia="ＭＳ ゴシック" w:hAnsi="ＭＳ ゴシック" w:cs="ＭＳ ゴシック" w:hint="eastAsia"/>
          <w:color w:val="000000"/>
          <w:sz w:val="16"/>
          <w:szCs w:val="18"/>
          <w14:ligatures w14:val="standardContextual"/>
        </w:rPr>
        <w:t>※</w:t>
      </w:r>
      <w:r w:rsidR="00710067" w:rsidRPr="00806AAA">
        <w:rPr>
          <w:rFonts w:ascii="ＭＳ ゴシック" w:eastAsia="ＭＳ ゴシック" w:hAnsi="ＭＳ ゴシック" w:cs="ＭＳ ゴシック"/>
          <w:color w:val="000000"/>
          <w:sz w:val="16"/>
          <w:szCs w:val="18"/>
          <w14:ligatures w14:val="standardContextual"/>
        </w:rPr>
        <w:t>1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となります。</w:t>
      </w:r>
      <w:r w:rsidR="00EB50A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なお、</w:t>
      </w:r>
      <w:r w:rsidR="00261FE9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ベースアップ</w:t>
      </w:r>
      <w:r w:rsidR="00943193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については</w:t>
      </w:r>
      <w:r w:rsidR="0063621C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3年連続</w:t>
      </w:r>
      <w:r w:rsidR="00B8073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の実施</w:t>
      </w:r>
      <w:r w:rsidR="0063621C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で</w:t>
      </w:r>
      <w:r w:rsidR="00B8073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</w:t>
      </w:r>
      <w:r w:rsidR="004E03F7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毎年</w:t>
      </w:r>
      <w:r w:rsidR="00AE51E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4月に予定されている</w:t>
      </w:r>
      <w:r w:rsidR="004E03F7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給与改定（</w:t>
      </w:r>
      <w:r w:rsidR="00AE51E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定期昇給</w:t>
      </w:r>
      <w:r w:rsidR="004E03F7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など）</w:t>
      </w:r>
      <w:r w:rsidR="00AE51E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に</w:t>
      </w:r>
      <w:r w:rsidR="00815E1A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先駆け</w:t>
      </w:r>
      <w:r w:rsidR="0063621C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て実施いたします</w:t>
      </w:r>
      <w:r w:rsidR="006D51B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。</w:t>
      </w:r>
    </w:p>
    <w:p w14:paraId="38FE90B3" w14:textId="33C00E55" w:rsidR="00946C4E" w:rsidRDefault="00052BDC" w:rsidP="00946C4E">
      <w:pPr>
        <w:spacing w:after="0" w:line="259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>
        <w:rPr>
          <w:rFonts w:ascii="ＭＳ ゴシック" w:eastAsia="ＭＳ ゴシック" w:hAnsi="ＭＳ ゴシック" w:cs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9271FD5" wp14:editId="14A1EC79">
                <wp:simplePos x="0" y="0"/>
                <wp:positionH relativeFrom="column">
                  <wp:posOffset>-69850</wp:posOffset>
                </wp:positionH>
                <wp:positionV relativeFrom="paragraph">
                  <wp:posOffset>158115</wp:posOffset>
                </wp:positionV>
                <wp:extent cx="5844540" cy="2331720"/>
                <wp:effectExtent l="0" t="0" r="22860" b="11430"/>
                <wp:wrapNone/>
                <wp:docPr id="19982578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2331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6968" id="正方形/長方形 1" o:spid="_x0000_s1026" style="position:absolute;margin-left:-5.5pt;margin-top:12.45pt;width:460.2pt;height:183.6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" filled="f" strokecolor="black [3213]" strokeweight=".25pt"/>
            </w:pict>
          </mc:Fallback>
        </mc:AlternateContent>
      </w:r>
      <w:r w:rsidR="00946C4E"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 xml:space="preserve"> </w:t>
      </w:r>
    </w:p>
    <w:p w14:paraId="6F153D7E" w14:textId="4C0499B2" w:rsidR="00D97354" w:rsidRPr="00F67110" w:rsidRDefault="00D97354" w:rsidP="00D97354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b/>
          <w:bCs/>
          <w:color w:val="000000"/>
          <w14:ligatures w14:val="standardContextual"/>
        </w:rPr>
      </w:pPr>
      <w:r w:rsidRPr="00F67110">
        <w:rPr>
          <w:rFonts w:ascii="ＭＳ ゴシック" w:eastAsia="ＭＳ ゴシック" w:hAnsi="ＭＳ ゴシック" w:cs="ＭＳ ゴシック"/>
          <w:b/>
          <w:bCs/>
          <w:color w:val="000000"/>
          <w14:ligatures w14:val="standardContextual"/>
        </w:rPr>
        <w:t xml:space="preserve">【ベースアップの概要】 </w:t>
      </w:r>
    </w:p>
    <w:p w14:paraId="1CE505E2" w14:textId="5D3F2C91" w:rsidR="00D97354" w:rsidRPr="00946C4E" w:rsidRDefault="00D97354" w:rsidP="00D97354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・対象者</w:t>
      </w:r>
      <w:r w:rsidR="009D2092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 xml:space="preserve">　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：正社員（新入社員含む）・契約社員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 xml:space="preserve"> 約3,</w:t>
      </w:r>
      <w:r w:rsidR="00B4709F">
        <w:rPr>
          <w:rFonts w:ascii="ＭＳ ゴシック" w:eastAsia="ＭＳ ゴシック" w:hAnsi="ＭＳ ゴシック" w:cs="ＭＳ ゴシック"/>
          <w14:ligatures w14:val="standardContextual"/>
        </w:rPr>
        <w:t>0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 xml:space="preserve">00名 </w:t>
      </w:r>
    </w:p>
    <w:p w14:paraId="191F735D" w14:textId="7CAD2DDC" w:rsidR="00D97354" w:rsidRDefault="00D97354" w:rsidP="00D97354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・実施内容：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①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対象者一名当たり月額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1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万円のベースアップ</w:t>
      </w:r>
    </w:p>
    <w:p w14:paraId="3011E318" w14:textId="74011A66" w:rsidR="00554705" w:rsidRDefault="00B4709F" w:rsidP="00806AAA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 xml:space="preserve">　　　　　　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②</w:t>
      </w:r>
      <w:r w:rsidR="00D7332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ノジマ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店舗・コールセンター・物流センター勤務の社員（約2</w:t>
      </w:r>
      <w:r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,</w:t>
      </w:r>
      <w:r w:rsidR="00163280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6</w:t>
      </w:r>
      <w:r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0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0名）は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</w:t>
      </w:r>
    </w:p>
    <w:p w14:paraId="2C930D09" w14:textId="6048B26B" w:rsidR="00B4709F" w:rsidRPr="00946C4E" w:rsidRDefault="00B4709F" w:rsidP="00806AAA">
      <w:pPr>
        <w:spacing w:after="5" w:line="248" w:lineRule="auto"/>
        <w:ind w:left="-5" w:firstLineChars="700" w:firstLine="147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最大2万5千円</w:t>
      </w:r>
      <w:r w:rsidR="00437D6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（残業代含む）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の「現場手当」を支給</w:t>
      </w:r>
    </w:p>
    <w:p w14:paraId="6B5D533E" w14:textId="2DE40CA0" w:rsidR="00822EB7" w:rsidRPr="00B4709F" w:rsidRDefault="00D97354" w:rsidP="00B4709F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・実施時期：</w:t>
      </w:r>
      <w:r w:rsidR="00554705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①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>202</w:t>
      </w:r>
      <w:r w:rsidR="00B4709F">
        <w:rPr>
          <w:rFonts w:ascii="ＭＳ ゴシック" w:eastAsia="ＭＳ ゴシック" w:hAnsi="ＭＳ ゴシック" w:cs="ＭＳ ゴシック"/>
          <w14:ligatures w14:val="standardContextual"/>
        </w:rPr>
        <w:t>5</w:t>
      </w:r>
      <w:r w:rsidRPr="00A9388F">
        <w:rPr>
          <w:rFonts w:ascii="ＭＳ ゴシック" w:eastAsia="ＭＳ ゴシック" w:hAnsi="ＭＳ ゴシック" w:cs="ＭＳ ゴシック"/>
          <w14:ligatures w14:val="standardContextual"/>
        </w:rPr>
        <w:t>年1月給与より</w:t>
      </w:r>
      <w:r w:rsidR="00554705">
        <w:rPr>
          <w:rFonts w:ascii="ＭＳ ゴシック" w:eastAsia="ＭＳ ゴシック" w:hAnsi="ＭＳ ゴシック" w:cs="ＭＳ ゴシック" w:hint="eastAsia"/>
          <w14:ligatures w14:val="standardContextual"/>
        </w:rPr>
        <w:t>、②</w:t>
      </w:r>
      <w:r w:rsidR="00B4709F">
        <w:rPr>
          <w:rFonts w:ascii="ＭＳ ゴシック" w:eastAsia="ＭＳ ゴシック" w:hAnsi="ＭＳ ゴシック" w:cs="ＭＳ ゴシック" w:hint="eastAsia"/>
          <w14:ligatures w14:val="standardContextual"/>
        </w:rPr>
        <w:t>2025年4月給与より</w:t>
      </w:r>
    </w:p>
    <w:p w14:paraId="58591F42" w14:textId="77777777" w:rsidR="00973CE1" w:rsidRDefault="00973CE1" w:rsidP="00B4709F">
      <w:pPr>
        <w:spacing w:after="0" w:line="200" w:lineRule="exact"/>
        <w:rPr>
          <w:rFonts w:ascii="ＭＳ ゴシック" w:eastAsia="ＭＳ ゴシック" w:hAnsi="ＭＳ ゴシック" w:cs="ＭＳ ゴシック"/>
          <w:sz w:val="16"/>
          <w:szCs w:val="18"/>
          <w14:ligatures w14:val="standardContextual"/>
        </w:rPr>
      </w:pPr>
    </w:p>
    <w:p w14:paraId="47A6D328" w14:textId="20C51EF5" w:rsidR="00973CE1" w:rsidRPr="00F67110" w:rsidRDefault="00973CE1" w:rsidP="00973CE1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b/>
          <w:bCs/>
          <w:color w:val="000000"/>
          <w14:ligatures w14:val="standardContextual"/>
        </w:rPr>
      </w:pPr>
      <w:r w:rsidRPr="00F67110">
        <w:rPr>
          <w:rFonts w:ascii="ＭＳ ゴシック" w:eastAsia="ＭＳ ゴシック" w:hAnsi="ＭＳ ゴシック" w:cs="ＭＳ ゴシック"/>
          <w:b/>
          <w:bCs/>
          <w:color w:val="000000"/>
          <w14:ligatures w14:val="standardContextual"/>
        </w:rPr>
        <w:t xml:space="preserve">【初任給】 </w:t>
      </w:r>
    </w:p>
    <w:p w14:paraId="5F1A449B" w14:textId="3E403FE8" w:rsidR="00A9388F" w:rsidRPr="00946C4E" w:rsidRDefault="00973CE1" w:rsidP="00806AAA">
      <w:pPr>
        <w:spacing w:after="5" w:line="248" w:lineRule="auto"/>
        <w:ind w:leftChars="100" w:left="2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202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5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年</w:t>
      </w:r>
      <w:r w:rsidR="0091099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度</w:t>
      </w:r>
      <w:r w:rsidR="007C77E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</w:t>
      </w:r>
      <w:r w:rsidR="0091099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新入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社員</w:t>
      </w:r>
      <w:r w:rsidR="0091099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に対する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月額給与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において</w:t>
      </w:r>
      <w:r w:rsidR="0091099D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も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、現行より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1万円上乗せ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し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加えて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現場手当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支給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しま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す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これにより、業界</w:t>
      </w:r>
      <w:r w:rsidR="00DC609E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最高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水準の初任給</w:t>
      </w:r>
      <w:r w:rsidRPr="007A7DD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（大卒：</w:t>
      </w:r>
      <w:r w:rsidR="00B4709F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300,000</w:t>
      </w:r>
      <w:r w:rsidRPr="007A7DD8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円、大学院了</w:t>
      </w:r>
      <w:r w:rsidRPr="007A7DD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：</w:t>
      </w:r>
      <w:r w:rsidR="003B1294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313,000</w:t>
      </w:r>
      <w:r w:rsidRPr="007A7DD8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円、専門・短大卒</w:t>
      </w:r>
      <w:r w:rsidRPr="007A7DD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：</w:t>
      </w:r>
      <w:r w:rsidR="003B129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2</w:t>
      </w:r>
      <w:r w:rsidR="003B1294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85,000</w:t>
      </w:r>
      <w:r w:rsidRPr="007A7DD8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円、高卒</w:t>
      </w:r>
      <w:r w:rsidRPr="007A7DD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：</w:t>
      </w:r>
      <w:r w:rsidR="003B1294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253,000</w:t>
      </w:r>
      <w:r w:rsidRPr="007A7DD8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円</w:t>
      </w:r>
      <w:r w:rsidR="005A0FB2" w:rsidRPr="00806AAA">
        <w:rPr>
          <w:rFonts w:ascii="ＭＳ ゴシック" w:eastAsia="ＭＳ ゴシック" w:hAnsi="ＭＳ ゴシック" w:cs="ＭＳ ゴシック" w:hint="eastAsia"/>
          <w:color w:val="000000"/>
          <w:sz w:val="16"/>
          <w:szCs w:val="18"/>
          <w14:ligatures w14:val="standardContextual"/>
        </w:rPr>
        <w:t>※</w:t>
      </w:r>
      <w:r w:rsidR="005A0FB2" w:rsidRPr="00806AAA">
        <w:rPr>
          <w:rFonts w:ascii="ＭＳ ゴシック" w:eastAsia="ＭＳ ゴシック" w:hAnsi="ＭＳ ゴシック" w:cs="ＭＳ ゴシック"/>
          <w:color w:val="000000"/>
          <w:sz w:val="16"/>
          <w:szCs w:val="18"/>
          <w14:ligatures w14:val="standardContextual"/>
        </w:rPr>
        <w:t>2</w:t>
      </w:r>
      <w:r w:rsidRPr="007A7DD8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）となりま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す。</w:t>
      </w:r>
    </w:p>
    <w:p w14:paraId="7E971F82" w14:textId="7D7ED31A" w:rsidR="00F9439A" w:rsidRPr="00946C4E" w:rsidRDefault="00F9439A" w:rsidP="00F9439A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</w:p>
    <w:p w14:paraId="07F94138" w14:textId="1CB5A940" w:rsidR="005A0FB2" w:rsidRPr="00806AAA" w:rsidRDefault="005A0FB2" w:rsidP="00B4709F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:sz w:val="18"/>
          <w:szCs w:val="20"/>
          <w14:ligatures w14:val="standardContextual"/>
        </w:rPr>
      </w:pPr>
      <w:r w:rsidRPr="00806AAA">
        <w:rPr>
          <w:rFonts w:ascii="ＭＳ ゴシック" w:eastAsia="ＭＳ ゴシック" w:hAnsi="ＭＳ ゴシック" w:cs="ＭＳ ゴシック" w:hint="eastAsia"/>
          <w:color w:val="000000"/>
          <w:sz w:val="18"/>
          <w:szCs w:val="20"/>
          <w14:ligatures w14:val="standardContextual"/>
        </w:rPr>
        <w:t>※</w:t>
      </w:r>
      <w:r w:rsidRPr="00806AAA">
        <w:rPr>
          <w:rFonts w:ascii="ＭＳ ゴシック" w:eastAsia="ＭＳ ゴシック" w:hAnsi="ＭＳ ゴシック" w:cs="ＭＳ ゴシック"/>
          <w:color w:val="000000"/>
          <w:sz w:val="18"/>
          <w:szCs w:val="20"/>
          <w14:ligatures w14:val="standardContextual"/>
        </w:rPr>
        <w:t>1…手当含む、自社調べ</w:t>
      </w:r>
      <w:r w:rsidRPr="00806AAA">
        <w:rPr>
          <w:rFonts w:ascii="ＭＳ ゴシック" w:eastAsia="ＭＳ ゴシック" w:hAnsi="ＭＳ ゴシック" w:cs="ＭＳ ゴシック" w:hint="eastAsia"/>
          <w:color w:val="000000"/>
          <w:sz w:val="18"/>
          <w:szCs w:val="20"/>
          <w14:ligatures w14:val="standardContextual"/>
        </w:rPr>
        <w:t xml:space="preserve">　※</w:t>
      </w:r>
      <w:r w:rsidRPr="00806AAA">
        <w:rPr>
          <w:rFonts w:ascii="ＭＳ ゴシック" w:eastAsia="ＭＳ ゴシック" w:hAnsi="ＭＳ ゴシック" w:cs="ＭＳ ゴシック"/>
          <w:color w:val="000000"/>
          <w:sz w:val="18"/>
          <w:szCs w:val="20"/>
          <w14:ligatures w14:val="standardContextual"/>
        </w:rPr>
        <w:t>2…新潟県店舗</w:t>
      </w:r>
      <w:r w:rsidRPr="00806AAA">
        <w:rPr>
          <w:rFonts w:ascii="ＭＳ ゴシック" w:eastAsia="ＭＳ ゴシック" w:hAnsi="ＭＳ ゴシック" w:cs="ＭＳ ゴシック" w:hint="eastAsia"/>
          <w:color w:val="000000"/>
          <w:sz w:val="18"/>
          <w:szCs w:val="20"/>
          <w14:ligatures w14:val="standardContextual"/>
        </w:rPr>
        <w:t>を除く</w:t>
      </w:r>
    </w:p>
    <w:p w14:paraId="5C8B8FF5" w14:textId="77777777" w:rsidR="005A0FB2" w:rsidRDefault="005A0FB2" w:rsidP="00B4709F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</w:p>
    <w:p w14:paraId="2A8E69C3" w14:textId="0047C635" w:rsidR="00F9439A" w:rsidRDefault="00DC609E" w:rsidP="00B4709F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＜直近公表のベースアップ等の実績＞</w:t>
      </w:r>
    </w:p>
    <w:p w14:paraId="1EC2C89D" w14:textId="77777777" w:rsidR="007208DB" w:rsidRPr="007208DB" w:rsidRDefault="007208DB" w:rsidP="007208DB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7208DB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・</w:t>
      </w:r>
      <w:r w:rsidRPr="007208DB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2022年6月</w:t>
      </w:r>
      <w:r w:rsidRPr="007208DB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ab/>
        <w:t>従業員約3,000名を対象に、毎月1万円の物価上昇応援手当ての支給を開始。</w:t>
      </w:r>
    </w:p>
    <w:p w14:paraId="026A2B6C" w14:textId="5055F5AB" w:rsidR="00D85A2F" w:rsidRDefault="007208DB" w:rsidP="007208DB">
      <w:pPr>
        <w:spacing w:after="5" w:line="248" w:lineRule="auto"/>
        <w:ind w:firstLineChars="800" w:firstLine="1680"/>
        <w:rPr>
          <w:rStyle w:val="a5"/>
          <w:rFonts w:ascii="ＭＳ ゴシック" w:eastAsia="ＭＳ ゴシック" w:hAnsi="ＭＳ ゴシック" w:cs="ＭＳ ゴシック"/>
          <w14:ligatures w14:val="standardContextual"/>
        </w:rPr>
      </w:pPr>
      <w:r w:rsidRPr="007208DB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 xml:space="preserve">URL </w:t>
      </w:r>
      <w:hyperlink r:id="rId6" w:history="1">
        <w:r w:rsidRPr="007208DB">
          <w:rPr>
            <w:rStyle w:val="a5"/>
            <w:rFonts w:ascii="ＭＳ ゴシック" w:eastAsia="ＭＳ ゴシック" w:hAnsi="ＭＳ ゴシック" w:cs="ＭＳ ゴシック"/>
            <w14:ligatures w14:val="standardContextual"/>
          </w:rPr>
          <w:t>https://www.nojima.co.jp/news/category/press/97741/</w:t>
        </w:r>
      </w:hyperlink>
    </w:p>
    <w:p w14:paraId="4077532F" w14:textId="77777777" w:rsidR="007208DB" w:rsidRPr="00B4709F" w:rsidRDefault="007208DB" w:rsidP="00B4709F">
      <w:pPr>
        <w:spacing w:after="5" w:line="248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</w:p>
    <w:p w14:paraId="047E4167" w14:textId="5286661A" w:rsidR="00B45089" w:rsidRDefault="00F9439A" w:rsidP="00B45089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F67110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・</w:t>
      </w:r>
      <w:r w:rsidR="00946C4E" w:rsidRPr="00F67110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2022年12月</w:t>
      </w:r>
      <w:r w:rsidR="00B45089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ab/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従業員約3,000名を対象に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、6月の</w:t>
      </w:r>
      <w:r w:rsidRPr="00F9439A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物価上昇応援手当て</w:t>
      </w:r>
      <w:r w:rsidRPr="00F9439A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1万円に加え、</w:t>
      </w:r>
    </w:p>
    <w:p w14:paraId="01EC173C" w14:textId="0D2FF95E" w:rsidR="00F9439A" w:rsidRDefault="00F9439A" w:rsidP="007A7DD8">
      <w:pPr>
        <w:spacing w:after="5" w:line="248" w:lineRule="auto"/>
        <w:ind w:left="-5" w:firstLine="1706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F9439A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更に1万円を上乗せした合計2万円</w:t>
      </w:r>
      <w:r w:rsidR="00D97354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</w:t>
      </w:r>
      <w:r w:rsidRPr="00F9439A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ベースアップ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を実施。</w:t>
      </w:r>
    </w:p>
    <w:p w14:paraId="40763977" w14:textId="1FAEF719" w:rsidR="00F9439A" w:rsidRDefault="00F9439A" w:rsidP="007A7DD8">
      <w:pPr>
        <w:spacing w:after="0" w:line="259" w:lineRule="auto"/>
        <w:ind w:left="840" w:firstLineChars="400" w:firstLine="840"/>
        <w:rPr>
          <w:rStyle w:val="a5"/>
          <w:rFonts w:ascii="ＭＳ ゴシック" w:eastAsia="ＭＳ ゴシック" w:hAnsi="ＭＳ ゴシック" w:cs="ＭＳ ゴシック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noProof/>
          <w:color w:val="000000"/>
          <w14:ligatures w14:val="standardContextual"/>
        </w:rPr>
        <w:drawing>
          <wp:anchor distT="0" distB="0" distL="114300" distR="114300" simplePos="0" relativeHeight="251664384" behindDoc="0" locked="0" layoutInCell="1" allowOverlap="0" wp14:anchorId="128760DA" wp14:editId="6E9B3DC5">
            <wp:simplePos x="0" y="0"/>
            <wp:positionH relativeFrom="page">
              <wp:posOffset>900430</wp:posOffset>
            </wp:positionH>
            <wp:positionV relativeFrom="page">
              <wp:posOffset>180340</wp:posOffset>
            </wp:positionV>
            <wp:extent cx="1188720" cy="480060"/>
            <wp:effectExtent l="0" t="0" r="0" b="0"/>
            <wp:wrapTopAndBottom/>
            <wp:docPr id="22764001" name="図 2276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URL</w:t>
      </w:r>
      <w:r w:rsidRPr="00946C4E">
        <w:t xml:space="preserve"> </w:t>
      </w:r>
      <w:hyperlink r:id="rId8" w:history="1">
        <w:r w:rsidR="006A33BD" w:rsidRPr="00025DD2">
          <w:rPr>
            <w:rStyle w:val="a5"/>
            <w:rFonts w:ascii="ＭＳ ゴシック" w:eastAsia="ＭＳ ゴシック" w:hAnsi="ＭＳ ゴシック" w:cs="ＭＳ ゴシック"/>
            <w14:ligatures w14:val="standardContextual"/>
          </w:rPr>
          <w:t>https://www.nojima.co.jp/news/category/press/106945/</w:t>
        </w:r>
      </w:hyperlink>
    </w:p>
    <w:p w14:paraId="164A2EFC" w14:textId="77777777" w:rsidR="0065151F" w:rsidRDefault="0065151F" w:rsidP="007A7DD8">
      <w:pPr>
        <w:spacing w:after="0" w:line="259" w:lineRule="auto"/>
        <w:ind w:left="840" w:firstLineChars="400" w:firstLine="84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</w:p>
    <w:p w14:paraId="402B4D9A" w14:textId="0479EA48" w:rsidR="0065151F" w:rsidRPr="00946C4E" w:rsidRDefault="0065151F" w:rsidP="007208DB">
      <w:pPr>
        <w:spacing w:after="5" w:line="248" w:lineRule="auto"/>
        <w:ind w:left="-5" w:hanging="10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F67110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・202</w:t>
      </w:r>
      <w:r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3</w:t>
      </w:r>
      <w:r w:rsidRPr="00F67110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年12月</w:t>
      </w:r>
      <w:r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ab/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従業員約3</w:t>
      </w:r>
      <w:r w:rsidR="00B4709F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,000</w:t>
      </w:r>
      <w:r w:rsidR="00B4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名を対象に、1万円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の</w:t>
      </w:r>
      <w:r w:rsidRPr="00F9439A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ベースアップ</w:t>
      </w:r>
      <w:r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を実施。</w:t>
      </w:r>
    </w:p>
    <w:p w14:paraId="052C3F27" w14:textId="423EEFC3" w:rsidR="00946C4E" w:rsidRDefault="0065151F" w:rsidP="0065151F">
      <w:pPr>
        <w:spacing w:after="0" w:line="259" w:lineRule="auto"/>
        <w:ind w:left="840" w:firstLineChars="400" w:firstLine="840"/>
        <w:rPr>
          <w:rStyle w:val="a5"/>
          <w:rFonts w:ascii="ＭＳ ゴシック" w:eastAsia="ＭＳ ゴシック" w:hAnsi="ＭＳ ゴシック" w:cs="ＭＳ ゴシック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URL</w:t>
      </w:r>
      <w:r w:rsidR="00CB3AD9">
        <w:t xml:space="preserve"> </w:t>
      </w:r>
      <w:hyperlink r:id="rId9" w:history="1">
        <w:r w:rsidR="00DC609E" w:rsidRPr="00947CCD">
          <w:rPr>
            <w:rStyle w:val="a5"/>
            <w:rFonts w:ascii="ＭＳ ゴシック" w:eastAsia="ＭＳ ゴシック" w:hAnsi="ＭＳ ゴシック" w:cs="ＭＳ ゴシック"/>
            <w14:ligatures w14:val="standardContextual"/>
          </w:rPr>
          <w:t>https://www.nojima.co.jp/news/category/press/229622/</w:t>
        </w:r>
      </w:hyperlink>
    </w:p>
    <w:p w14:paraId="119FC114" w14:textId="77777777" w:rsidR="0065151F" w:rsidRDefault="0065151F" w:rsidP="00F9439A">
      <w:pPr>
        <w:spacing w:after="0" w:line="259" w:lineRule="auto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</w:p>
    <w:p w14:paraId="4B5BB0F4" w14:textId="4BD2C7A9" w:rsidR="00946C4E" w:rsidRDefault="00946C4E" w:rsidP="00D97354">
      <w:pPr>
        <w:spacing w:after="5" w:line="248" w:lineRule="auto"/>
        <w:ind w:left="-15" w:firstLine="211"/>
        <w:rPr>
          <w:rFonts w:ascii="ＭＳ ゴシック" w:eastAsia="ＭＳ ゴシック" w:hAnsi="ＭＳ ゴシック" w:cs="ＭＳ ゴシック"/>
          <w:color w:val="000000"/>
          <w14:ligatures w14:val="standardContextual"/>
        </w:rPr>
      </w:pP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ノジマは、今後も従業員のワークライフバランスの向上に努め、従業員が働きがいのある会社ＮＯ．1を目指</w:t>
      </w:r>
      <w:r w:rsidR="00DD709F">
        <w:rPr>
          <w:rFonts w:ascii="ＭＳ ゴシック" w:eastAsia="ＭＳ ゴシック" w:hAnsi="ＭＳ ゴシック" w:cs="ＭＳ ゴシック" w:hint="eastAsia"/>
          <w:color w:val="000000"/>
          <w14:ligatures w14:val="standardContextual"/>
        </w:rPr>
        <w:t>すとともに、</w:t>
      </w:r>
      <w:r w:rsidRPr="00946C4E">
        <w:rPr>
          <w:rFonts w:ascii="ＭＳ ゴシック" w:eastAsia="ＭＳ ゴシック" w:hAnsi="ＭＳ ゴシック" w:cs="ＭＳ ゴシック"/>
          <w:color w:val="000000"/>
          <w14:ligatures w14:val="standardContextual"/>
        </w:rPr>
        <w:t>従業員、お客様、株主の皆様が幸せになれる企業への成長に努めてまいります。</w:t>
      </w:r>
    </w:p>
    <w:p w14:paraId="1B4BF8AD" w14:textId="77777777" w:rsidR="00D97354" w:rsidRPr="00946C4E" w:rsidRDefault="00D97354" w:rsidP="00D97354">
      <w:pPr>
        <w:spacing w:after="5" w:line="248" w:lineRule="auto"/>
        <w:rPr>
          <w:rFonts w:ascii="ＭＳ ゴシック" w:eastAsia="ＭＳ ゴシック" w:hAnsi="ＭＳ ゴシック" w:cs="Times New Roman"/>
          <w:sz w:val="12"/>
          <w:szCs w:val="16"/>
        </w:rPr>
      </w:pPr>
    </w:p>
    <w:p w14:paraId="17A06B7E" w14:textId="77777777" w:rsidR="00946C4E" w:rsidRPr="00946C4E" w:rsidRDefault="00946C4E" w:rsidP="00946C4E">
      <w:pPr>
        <w:widowControl w:val="0"/>
        <w:pBdr>
          <w:top w:val="single" w:sz="4" w:space="3" w:color="auto"/>
        </w:pBdr>
        <w:spacing w:after="0"/>
        <w:jc w:val="center"/>
        <w:rPr>
          <w:rFonts w:ascii="ＭＳ ゴシック" w:eastAsia="ＭＳ ゴシック" w:hAnsi="ＭＳ ゴシック" w:cs="Times New Roman"/>
        </w:rPr>
      </w:pPr>
      <w:r w:rsidRPr="00946C4E">
        <w:rPr>
          <w:rFonts w:ascii="ＭＳ ゴシック" w:eastAsia="ＭＳ ゴシック" w:hAnsi="ＭＳ ゴシック" w:cs="Times New Roman" w:hint="eastAsia"/>
        </w:rPr>
        <w:t>＜取材・お問い合わせ窓口＞</w:t>
      </w:r>
    </w:p>
    <w:p w14:paraId="570B3608" w14:textId="418CC1A6" w:rsidR="00946C4E" w:rsidRPr="00946C4E" w:rsidRDefault="00946C4E">
      <w:pPr>
        <w:spacing w:after="0" w:line="240" w:lineRule="exact"/>
        <w:jc w:val="center"/>
        <w:rPr>
          <w:rFonts w:ascii="MS UI Gothic" w:eastAsia="MS UI Gothic" w:hAnsi="MS UI Gothic" w:cs="Times New Roman"/>
          <w:sz w:val="18"/>
          <w:szCs w:val="18"/>
        </w:rPr>
      </w:pPr>
      <w:r w:rsidRPr="00946C4E">
        <w:rPr>
          <w:rFonts w:ascii="MS UI Gothic" w:eastAsia="MS UI Gothic" w:hAnsi="MS UI Gothic" w:cs="Arial" w:hint="eastAsia"/>
          <w:sz w:val="18"/>
          <w:szCs w:val="18"/>
        </w:rPr>
        <w:t>株式会社ノジマ　広報担</w:t>
      </w:r>
      <w:r w:rsidR="00710067">
        <w:rPr>
          <w:rFonts w:ascii="MS UI Gothic" w:eastAsia="MS UI Gothic" w:hAnsi="MS UI Gothic" w:cs="Arial" w:hint="eastAsia"/>
          <w:sz w:val="18"/>
          <w:szCs w:val="18"/>
        </w:rPr>
        <w:t>担当（</w:t>
      </w:r>
      <w:r w:rsidR="001F1722">
        <w:rPr>
          <w:rFonts w:ascii="MS UI Gothic" w:eastAsia="MS UI Gothic" w:hAnsi="MS UI Gothic" w:cs="Arial" w:hint="eastAsia"/>
          <w:sz w:val="18"/>
          <w:szCs w:val="18"/>
        </w:rPr>
        <w:t>TEL：050-3205-9203</w:t>
      </w:r>
      <w:r w:rsidR="00EA1FE7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 w:rsidRPr="00946C4E">
        <w:rPr>
          <w:rFonts w:ascii="MS UI Gothic" w:eastAsia="MS UI Gothic" w:hAnsi="MS UI Gothic" w:cs="Times New Roman" w:hint="eastAsia"/>
          <w:sz w:val="18"/>
          <w:szCs w:val="18"/>
        </w:rPr>
        <w:t>Ｅ-Mail：</w:t>
      </w:r>
      <w:hyperlink r:id="rId10" w:history="1">
        <w:r w:rsidRPr="00946C4E">
          <w:rPr>
            <w:rFonts w:ascii="MS UI Gothic" w:eastAsia="MS UI Gothic" w:hAnsi="MS UI Gothic" w:cs="Times New Roman" w:hint="eastAsia"/>
            <w:color w:val="0000FF"/>
            <w:sz w:val="18"/>
            <w:szCs w:val="18"/>
            <w:u w:val="single"/>
          </w:rPr>
          <w:t>pr@nojima.co.jp</w:t>
        </w:r>
      </w:hyperlink>
      <w:r w:rsidR="00710067" w:rsidRPr="00806AAA">
        <w:rPr>
          <w:rFonts w:ascii="MS UI Gothic" w:eastAsia="MS UI Gothic" w:hAnsi="MS UI Gothic" w:cs="Times New Roman" w:hint="eastAsia"/>
          <w:sz w:val="18"/>
          <w:szCs w:val="18"/>
        </w:rPr>
        <w:t>）</w:t>
      </w:r>
    </w:p>
    <w:sectPr w:rsidR="00946C4E" w:rsidRPr="00946C4E" w:rsidSect="00EA1FE7">
      <w:headerReference w:type="default" r:id="rId11"/>
      <w:pgSz w:w="11906" w:h="16838" w:code="9"/>
      <w:pgMar w:top="454" w:right="1418" w:bottom="454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EAAF3" w14:textId="77777777" w:rsidR="0032494F" w:rsidRDefault="0032494F">
      <w:pPr>
        <w:spacing w:after="0" w:line="240" w:lineRule="auto"/>
      </w:pPr>
      <w:r>
        <w:separator/>
      </w:r>
    </w:p>
  </w:endnote>
  <w:endnote w:type="continuationSeparator" w:id="0">
    <w:p w14:paraId="24B40C99" w14:textId="77777777" w:rsidR="0032494F" w:rsidRDefault="0032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001A1" w14:textId="77777777" w:rsidR="0032494F" w:rsidRDefault="0032494F">
      <w:pPr>
        <w:spacing w:after="0" w:line="240" w:lineRule="auto"/>
      </w:pPr>
      <w:r>
        <w:separator/>
      </w:r>
    </w:p>
  </w:footnote>
  <w:footnote w:type="continuationSeparator" w:id="0">
    <w:p w14:paraId="738430C4" w14:textId="77777777" w:rsidR="0032494F" w:rsidRDefault="0032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4F87" w14:textId="77777777" w:rsidR="00D97354" w:rsidRDefault="00D97354" w:rsidP="007F2098">
    <w:pPr>
      <w:pStyle w:val="a3"/>
      <w:wordWrap w:val="0"/>
    </w:pPr>
    <w:r w:rsidRPr="00A252AB">
      <w:rPr>
        <w:noProof/>
      </w:rPr>
      <w:drawing>
        <wp:inline distT="0" distB="0" distL="0" distR="0" wp14:anchorId="7094638C" wp14:editId="07BBF6A3">
          <wp:extent cx="1188720" cy="480060"/>
          <wp:effectExtent l="0" t="0" r="0" b="0"/>
          <wp:docPr id="1545677330" name="図 1545677330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4E"/>
    <w:rsid w:val="000231B0"/>
    <w:rsid w:val="000433D9"/>
    <w:rsid w:val="00052BDC"/>
    <w:rsid w:val="00056631"/>
    <w:rsid w:val="00075FAE"/>
    <w:rsid w:val="00087C47"/>
    <w:rsid w:val="000B5A5A"/>
    <w:rsid w:val="001017D4"/>
    <w:rsid w:val="00102794"/>
    <w:rsid w:val="00124BDD"/>
    <w:rsid w:val="00141F15"/>
    <w:rsid w:val="0015357B"/>
    <w:rsid w:val="001550A2"/>
    <w:rsid w:val="00161CDD"/>
    <w:rsid w:val="00163280"/>
    <w:rsid w:val="00170319"/>
    <w:rsid w:val="0017184A"/>
    <w:rsid w:val="00196457"/>
    <w:rsid w:val="001C033D"/>
    <w:rsid w:val="001D1793"/>
    <w:rsid w:val="001D46F8"/>
    <w:rsid w:val="001D5D61"/>
    <w:rsid w:val="001E366E"/>
    <w:rsid w:val="001E79CF"/>
    <w:rsid w:val="001F1722"/>
    <w:rsid w:val="001F381D"/>
    <w:rsid w:val="00201779"/>
    <w:rsid w:val="002055D4"/>
    <w:rsid w:val="0022414C"/>
    <w:rsid w:val="0024782D"/>
    <w:rsid w:val="00261FE9"/>
    <w:rsid w:val="003013B0"/>
    <w:rsid w:val="0032494F"/>
    <w:rsid w:val="0033011E"/>
    <w:rsid w:val="003475C9"/>
    <w:rsid w:val="00354638"/>
    <w:rsid w:val="00374E21"/>
    <w:rsid w:val="003A03F6"/>
    <w:rsid w:val="003B1294"/>
    <w:rsid w:val="003D090A"/>
    <w:rsid w:val="003D4F89"/>
    <w:rsid w:val="003E5B5D"/>
    <w:rsid w:val="003F2718"/>
    <w:rsid w:val="004052ED"/>
    <w:rsid w:val="00423555"/>
    <w:rsid w:val="0042420C"/>
    <w:rsid w:val="00437D64"/>
    <w:rsid w:val="00467927"/>
    <w:rsid w:val="00475146"/>
    <w:rsid w:val="00480CE8"/>
    <w:rsid w:val="004B664B"/>
    <w:rsid w:val="004E03F7"/>
    <w:rsid w:val="00532F8A"/>
    <w:rsid w:val="00537658"/>
    <w:rsid w:val="00542D47"/>
    <w:rsid w:val="00554705"/>
    <w:rsid w:val="00572A1A"/>
    <w:rsid w:val="005753FB"/>
    <w:rsid w:val="00597959"/>
    <w:rsid w:val="005A0FB2"/>
    <w:rsid w:val="005A62EB"/>
    <w:rsid w:val="005C2CCD"/>
    <w:rsid w:val="005E3629"/>
    <w:rsid w:val="006105F5"/>
    <w:rsid w:val="00613865"/>
    <w:rsid w:val="0061782D"/>
    <w:rsid w:val="00634901"/>
    <w:rsid w:val="0063621C"/>
    <w:rsid w:val="0065151F"/>
    <w:rsid w:val="00663B32"/>
    <w:rsid w:val="00672389"/>
    <w:rsid w:val="00675D28"/>
    <w:rsid w:val="006A33BD"/>
    <w:rsid w:val="006C3455"/>
    <w:rsid w:val="006C4BAC"/>
    <w:rsid w:val="006D51BD"/>
    <w:rsid w:val="006E74B5"/>
    <w:rsid w:val="006F6EBB"/>
    <w:rsid w:val="00703F6A"/>
    <w:rsid w:val="00710067"/>
    <w:rsid w:val="00712558"/>
    <w:rsid w:val="007208DB"/>
    <w:rsid w:val="00720A68"/>
    <w:rsid w:val="00720DC3"/>
    <w:rsid w:val="007305B1"/>
    <w:rsid w:val="00731FAD"/>
    <w:rsid w:val="00737C31"/>
    <w:rsid w:val="00766AE3"/>
    <w:rsid w:val="00795585"/>
    <w:rsid w:val="007A05FE"/>
    <w:rsid w:val="007A7DD8"/>
    <w:rsid w:val="007C77EE"/>
    <w:rsid w:val="00806AAA"/>
    <w:rsid w:val="008107BD"/>
    <w:rsid w:val="00815E1A"/>
    <w:rsid w:val="00822EB7"/>
    <w:rsid w:val="008318B5"/>
    <w:rsid w:val="00845EB0"/>
    <w:rsid w:val="008913DA"/>
    <w:rsid w:val="008B563D"/>
    <w:rsid w:val="008E49AF"/>
    <w:rsid w:val="008F22D4"/>
    <w:rsid w:val="00901075"/>
    <w:rsid w:val="0091099D"/>
    <w:rsid w:val="00943193"/>
    <w:rsid w:val="00946C4E"/>
    <w:rsid w:val="00964073"/>
    <w:rsid w:val="00973CE1"/>
    <w:rsid w:val="009C2D91"/>
    <w:rsid w:val="009D2092"/>
    <w:rsid w:val="009F7986"/>
    <w:rsid w:val="00A14B34"/>
    <w:rsid w:val="00A4024B"/>
    <w:rsid w:val="00A63C28"/>
    <w:rsid w:val="00A656E9"/>
    <w:rsid w:val="00A9388F"/>
    <w:rsid w:val="00AA64B3"/>
    <w:rsid w:val="00AB42D3"/>
    <w:rsid w:val="00AB4511"/>
    <w:rsid w:val="00AE51E4"/>
    <w:rsid w:val="00AF46CC"/>
    <w:rsid w:val="00B1663C"/>
    <w:rsid w:val="00B26FA1"/>
    <w:rsid w:val="00B45089"/>
    <w:rsid w:val="00B4709F"/>
    <w:rsid w:val="00B80732"/>
    <w:rsid w:val="00B835BE"/>
    <w:rsid w:val="00BB57AA"/>
    <w:rsid w:val="00BC1957"/>
    <w:rsid w:val="00C048D7"/>
    <w:rsid w:val="00C04961"/>
    <w:rsid w:val="00C67925"/>
    <w:rsid w:val="00C76944"/>
    <w:rsid w:val="00CB3AD9"/>
    <w:rsid w:val="00CF7EE4"/>
    <w:rsid w:val="00D04C35"/>
    <w:rsid w:val="00D05FD8"/>
    <w:rsid w:val="00D06018"/>
    <w:rsid w:val="00D3226A"/>
    <w:rsid w:val="00D73325"/>
    <w:rsid w:val="00D7512D"/>
    <w:rsid w:val="00D75170"/>
    <w:rsid w:val="00D85A2F"/>
    <w:rsid w:val="00D97354"/>
    <w:rsid w:val="00DA4891"/>
    <w:rsid w:val="00DC609E"/>
    <w:rsid w:val="00DD709F"/>
    <w:rsid w:val="00DF3505"/>
    <w:rsid w:val="00DF6A07"/>
    <w:rsid w:val="00E0602C"/>
    <w:rsid w:val="00E15208"/>
    <w:rsid w:val="00E1648B"/>
    <w:rsid w:val="00E46F80"/>
    <w:rsid w:val="00E54D71"/>
    <w:rsid w:val="00EA1FE7"/>
    <w:rsid w:val="00EB50AE"/>
    <w:rsid w:val="00F11269"/>
    <w:rsid w:val="00F410E8"/>
    <w:rsid w:val="00F65B8C"/>
    <w:rsid w:val="00F67110"/>
    <w:rsid w:val="00F70B61"/>
    <w:rsid w:val="00F839DA"/>
    <w:rsid w:val="00F85943"/>
    <w:rsid w:val="00F9439A"/>
    <w:rsid w:val="00FA0F68"/>
    <w:rsid w:val="00FA18D5"/>
    <w:rsid w:val="00FA6177"/>
    <w:rsid w:val="00FB6CD7"/>
    <w:rsid w:val="00FC1462"/>
    <w:rsid w:val="00FD3A65"/>
    <w:rsid w:val="00FD7B99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A596"/>
  <w15:chartTrackingRefBased/>
  <w15:docId w15:val="{8803AE31-F41D-46A4-9DAF-31DA3460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C4E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46C4E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946C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6C4E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946C4E"/>
  </w:style>
  <w:style w:type="character" w:customStyle="1" w:styleId="a8">
    <w:name w:val="日付 (文字)"/>
    <w:basedOn w:val="a0"/>
    <w:link w:val="a7"/>
    <w:uiPriority w:val="99"/>
    <w:semiHidden/>
    <w:rsid w:val="00946C4E"/>
  </w:style>
  <w:style w:type="character" w:styleId="a9">
    <w:name w:val="annotation reference"/>
    <w:basedOn w:val="a0"/>
    <w:uiPriority w:val="99"/>
    <w:semiHidden/>
    <w:unhideWhenUsed/>
    <w:rsid w:val="00F943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9439A"/>
  </w:style>
  <w:style w:type="character" w:customStyle="1" w:styleId="ab">
    <w:name w:val="コメント文字列 (文字)"/>
    <w:basedOn w:val="a0"/>
    <w:link w:val="aa"/>
    <w:uiPriority w:val="99"/>
    <w:semiHidden/>
    <w:rsid w:val="00F943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943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9439A"/>
    <w:rPr>
      <w:b/>
      <w:bCs/>
    </w:rPr>
  </w:style>
  <w:style w:type="paragraph" w:styleId="ae">
    <w:name w:val="footer"/>
    <w:basedOn w:val="a"/>
    <w:link w:val="af"/>
    <w:uiPriority w:val="99"/>
    <w:unhideWhenUsed/>
    <w:rsid w:val="00F671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7110"/>
  </w:style>
  <w:style w:type="paragraph" w:styleId="af0">
    <w:name w:val="List Paragraph"/>
    <w:basedOn w:val="a"/>
    <w:uiPriority w:val="34"/>
    <w:qFormat/>
    <w:rsid w:val="00A9388F"/>
    <w:pPr>
      <w:ind w:leftChars="400" w:left="840"/>
    </w:pPr>
  </w:style>
  <w:style w:type="paragraph" w:styleId="af1">
    <w:name w:val="Revision"/>
    <w:hidden/>
    <w:uiPriority w:val="99"/>
    <w:semiHidden/>
    <w:rsid w:val="00D05FD8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6A3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news/category/press/10694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jima.co.jp/news/category/press/97741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@nojima.co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ojima.co.jp/news/category/press/2296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NJ-府川 厚子</dc:creator>
  <cp:keywords/>
  <dc:description/>
  <cp:lastModifiedBy>NJ-高橋実奈</cp:lastModifiedBy>
  <cp:revision>11</cp:revision>
  <cp:lastPrinted>2023-11-24T07:58:00Z</cp:lastPrinted>
  <dcterms:created xsi:type="dcterms:W3CDTF">2024-09-27T08:30:00Z</dcterms:created>
  <dcterms:modified xsi:type="dcterms:W3CDTF">2024-10-17T09:19:00Z</dcterms:modified>
</cp:coreProperties>
</file>