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9294" w14:textId="572DA83E" w:rsidR="00A10A0E" w:rsidRDefault="00A10A0E" w:rsidP="00A10A0E">
      <w:pPr>
        <w:rPr>
          <w:b/>
          <w:bCs/>
        </w:rPr>
      </w:pPr>
      <w:proofErr w:type="spellStart"/>
      <w:r w:rsidRPr="00A10A0E">
        <w:rPr>
          <w:b/>
          <w:bCs/>
        </w:rPr>
        <w:t>プロテオミクス市場の需要分析と将来の動向</w:t>
      </w:r>
      <w:proofErr w:type="spellEnd"/>
      <w:r w:rsidRPr="00A10A0E">
        <w:rPr>
          <w:b/>
          <w:bCs/>
        </w:rPr>
        <w:t xml:space="preserve"> 2025 – 2032 </w:t>
      </w:r>
    </w:p>
    <w:p w14:paraId="445D647E" w14:textId="50ECAC80" w:rsidR="00A10A0E" w:rsidRPr="00A10A0E" w:rsidRDefault="00A10A0E" w:rsidP="00A10A0E">
      <w:r w:rsidRPr="00A10A0E">
        <w:t>プロテオミクス市場は、バイオテクノロジーの進歩、個別化医療の需要の増加、研究開発への投資の増加に牽引され、指数関数的な成長を遂げています。SkyQuest Technologyによると、プロテオミクス市場は現代の生物医学研究の礎となる準備ができており、疾患の理解や標的療法の開発に不可欠なタンパク質の機能、相互作用、構造に関する洞察を提供しています。</w:t>
      </w:r>
    </w:p>
    <w:p w14:paraId="4C0CA6DA" w14:textId="4F1169C9" w:rsidR="00A10A0E" w:rsidRDefault="00A10A0E" w:rsidP="00A10A0E">
      <w:r w:rsidRPr="00A10A0E">
        <w:t>プロテオミクスの市場規模は2023年に293億5000万米ドルと評価され、2024年の342億1000万米ドルから2032年までに1167億5000万米ドルに成長し、予測期間(2025年から2032年)の間に16.55%のCAGRで成長する態勢を整えています。</w:t>
      </w:r>
    </w:p>
    <w:p w14:paraId="77060B53" w14:textId="1128247E" w:rsidR="00A10A0E" w:rsidRPr="00A10A0E" w:rsidRDefault="00A10A0E" w:rsidP="00A10A0E">
      <w:r w:rsidRPr="00A10A0E">
        <w:t xml:space="preserve">無料サンプルをリクエストする レポートのレポート: </w:t>
      </w:r>
      <w:hyperlink r:id="rId5" w:history="1">
        <w:r w:rsidRPr="000A6B49">
          <w:rPr>
            <w:rStyle w:val="Hyperlink"/>
          </w:rPr>
          <w:t>https://www.skyquestt.com/sample-request/proteomics-market</w:t>
        </w:r>
      </w:hyperlink>
      <w:r>
        <w:t xml:space="preserve"> </w:t>
      </w:r>
    </w:p>
    <w:p w14:paraId="653926DD" w14:textId="6D6C83B8" w:rsidR="00A10A0E" w:rsidRPr="00A10A0E" w:rsidRDefault="00A10A0E" w:rsidP="00A10A0E">
      <w:pPr>
        <w:rPr>
          <w:b/>
          <w:bCs/>
        </w:rPr>
      </w:pPr>
      <w:r w:rsidRPr="00A10A0E">
        <w:rPr>
          <w:b/>
          <w:bCs/>
        </w:rPr>
        <w:t>市場概況</w:t>
      </w:r>
    </w:p>
    <w:p w14:paraId="5C94DB1A" w14:textId="77777777" w:rsidR="00A10A0E" w:rsidRPr="00A10A0E" w:rsidRDefault="00A10A0E" w:rsidP="00A10A0E">
      <w:r w:rsidRPr="00A10A0E">
        <w:t>タンパク質の大規模な研究であるプロテオミクスは、生体システムにおけるタンパク質の発現、機能、相互作用の理解に焦点を当てています。これはライフサイエンスの重要な要素となり、創薬、疾患診断、バイオマーカーの同定におけるブレークスルーに貢献しています。</w:t>
      </w:r>
    </w:p>
    <w:p w14:paraId="55A66716" w14:textId="77777777" w:rsidR="00A10A0E" w:rsidRPr="00A10A0E" w:rsidRDefault="00A10A0E" w:rsidP="00A10A0E">
      <w:r w:rsidRPr="00A10A0E">
        <w:t>慢性疾患の有病率の増加と精密な治療ソリューションの必要性が相まって、学界、製薬、バイオテクノロジー業界でのプロテオミクス技術の採用が加速しています。</w:t>
      </w:r>
    </w:p>
    <w:p w14:paraId="47B5D300" w14:textId="77777777" w:rsidR="00A10A0E" w:rsidRPr="00A10A0E" w:rsidRDefault="00A10A0E" w:rsidP="00A10A0E">
      <w:pPr>
        <w:rPr>
          <w:b/>
          <w:bCs/>
        </w:rPr>
      </w:pPr>
      <w:r w:rsidRPr="00A10A0E">
        <w:rPr>
          <w:b/>
          <w:bCs/>
        </w:rPr>
        <w:t>市場成長の主な推進力</w:t>
      </w:r>
    </w:p>
    <w:p w14:paraId="256C7E25" w14:textId="77777777" w:rsidR="00A10A0E" w:rsidRPr="00A10A0E" w:rsidRDefault="00A10A0E" w:rsidP="00A10A0E">
      <w:pPr>
        <w:numPr>
          <w:ilvl w:val="0"/>
          <w:numId w:val="1"/>
        </w:numPr>
      </w:pPr>
      <w:r w:rsidRPr="00A10A0E">
        <w:rPr>
          <w:b/>
          <w:bCs/>
        </w:rPr>
        <w:t>プロテオミクス技術の進歩質量分析、タンパク質マイクロアレイ、クロマトグラフィー技術などのイノベーションにより、プロテオミクス研究の精度と効率が向上しています。</w:t>
      </w:r>
    </w:p>
    <w:p w14:paraId="4E300E6F" w14:textId="77777777" w:rsidR="00A10A0E" w:rsidRPr="00A10A0E" w:rsidRDefault="00A10A0E" w:rsidP="00A10A0E">
      <w:pPr>
        <w:numPr>
          <w:ilvl w:val="0"/>
          <w:numId w:val="1"/>
        </w:numPr>
      </w:pPr>
      <w:r w:rsidRPr="00A10A0E">
        <w:rPr>
          <w:b/>
          <w:bCs/>
        </w:rPr>
        <w:t>個別化医療に対する需要の高まり個別化医療ソリューションへのシフトにより、カスタマイズされた治療のための独自のタンパク質バイオマーカーを特定するためのプロテオミクスの必要性が高まっています。</w:t>
      </w:r>
    </w:p>
    <w:p w14:paraId="24A68C9F" w14:textId="77777777" w:rsidR="00A10A0E" w:rsidRPr="00A10A0E" w:rsidRDefault="00A10A0E" w:rsidP="00A10A0E">
      <w:pPr>
        <w:numPr>
          <w:ilvl w:val="0"/>
          <w:numId w:val="1"/>
        </w:numPr>
      </w:pPr>
      <w:r w:rsidRPr="00A10A0E">
        <w:rPr>
          <w:b/>
          <w:bCs/>
        </w:rPr>
        <w:t>慢性疾患の有病率の増加がん、糖尿病、心血管疾患などの疾患は、標的療法や早期診断ツールを開発するためのプロテオミクスの研究を後押ししています。</w:t>
      </w:r>
    </w:p>
    <w:p w14:paraId="246D7080" w14:textId="77777777" w:rsidR="00A10A0E" w:rsidRPr="00A10A0E" w:rsidRDefault="00A10A0E" w:rsidP="00A10A0E">
      <w:pPr>
        <w:numPr>
          <w:ilvl w:val="0"/>
          <w:numId w:val="1"/>
        </w:numPr>
      </w:pPr>
      <w:r w:rsidRPr="00A10A0E">
        <w:rPr>
          <w:b/>
          <w:bCs/>
        </w:rPr>
        <w:t>R&amp;D投資の拡大世界中の政府や民間組織は、プロテオミクス研究への資金提供を増やしており、市場の成長を後押ししています。</w:t>
      </w:r>
    </w:p>
    <w:p w14:paraId="1581B5F2" w14:textId="77777777" w:rsidR="00A10A0E" w:rsidRPr="00A10A0E" w:rsidRDefault="00A10A0E" w:rsidP="00A10A0E">
      <w:pPr>
        <w:numPr>
          <w:ilvl w:val="0"/>
          <w:numId w:val="1"/>
        </w:numPr>
      </w:pPr>
      <w:r w:rsidRPr="00A10A0E">
        <w:rPr>
          <w:b/>
          <w:bCs/>
        </w:rPr>
        <w:t>創薬における応用拡大プロテオミクスは、潜在的な治療標的の特定や薬効評価に役立てられる、創薬・開発に欠かせないツールになりつつあります。</w:t>
      </w:r>
    </w:p>
    <w:p w14:paraId="70E247AE" w14:textId="77777777" w:rsidR="00A10A0E" w:rsidRPr="00A10A0E" w:rsidRDefault="00A10A0E" w:rsidP="00A10A0E">
      <w:pPr>
        <w:rPr>
          <w:b/>
          <w:bCs/>
        </w:rPr>
      </w:pPr>
      <w:r w:rsidRPr="00A10A0E">
        <w:rPr>
          <w:b/>
          <w:bCs/>
        </w:rPr>
        <w:t>市場セグメンテーション</w:t>
      </w:r>
    </w:p>
    <w:p w14:paraId="33E4C6D0" w14:textId="77777777" w:rsidR="00A10A0E" w:rsidRPr="00A10A0E" w:rsidRDefault="00A10A0E" w:rsidP="00A10A0E">
      <w:pPr>
        <w:numPr>
          <w:ilvl w:val="0"/>
          <w:numId w:val="2"/>
        </w:numPr>
      </w:pPr>
      <w:r w:rsidRPr="00A10A0E">
        <w:rPr>
          <w:b/>
          <w:bCs/>
        </w:rPr>
        <w:t>テクノロジー別:</w:t>
      </w:r>
    </w:p>
    <w:p w14:paraId="6AABE2EA" w14:textId="77777777" w:rsidR="00A10A0E" w:rsidRPr="00A10A0E" w:rsidRDefault="00A10A0E" w:rsidP="00A10A0E">
      <w:pPr>
        <w:numPr>
          <w:ilvl w:val="1"/>
          <w:numId w:val="2"/>
        </w:numPr>
      </w:pPr>
      <w:r w:rsidRPr="00A10A0E">
        <w:rPr>
          <w:i/>
          <w:iCs/>
        </w:rPr>
        <w:t>質量分析:</w:t>
      </w:r>
      <w:r w:rsidRPr="00A10A0E">
        <w:t xml:space="preserve"> タンパク質分析の精度が高いため、主要なセグメントです。</w:t>
      </w:r>
    </w:p>
    <w:p w14:paraId="5F2D248A" w14:textId="77777777" w:rsidR="00A10A0E" w:rsidRPr="00A10A0E" w:rsidRDefault="00A10A0E" w:rsidP="00A10A0E">
      <w:pPr>
        <w:numPr>
          <w:ilvl w:val="1"/>
          <w:numId w:val="2"/>
        </w:numPr>
      </w:pPr>
      <w:r w:rsidRPr="00A10A0E">
        <w:rPr>
          <w:i/>
          <w:iCs/>
        </w:rPr>
        <w:t>クロマトグラフィー:</w:t>
      </w:r>
      <w:r w:rsidRPr="00A10A0E">
        <w:t xml:space="preserve"> タンパク質の分離と精製に広く使用されています。</w:t>
      </w:r>
    </w:p>
    <w:p w14:paraId="61DFB3CC" w14:textId="77777777" w:rsidR="00A10A0E" w:rsidRPr="00A10A0E" w:rsidRDefault="00A10A0E" w:rsidP="00A10A0E">
      <w:pPr>
        <w:numPr>
          <w:ilvl w:val="1"/>
          <w:numId w:val="2"/>
        </w:numPr>
      </w:pPr>
      <w:r w:rsidRPr="00A10A0E">
        <w:rPr>
          <w:i/>
          <w:iCs/>
        </w:rPr>
        <w:lastRenderedPageBreak/>
        <w:t>タンパク質マイクロアレイ:</w:t>
      </w:r>
      <w:r w:rsidRPr="00A10A0E">
        <w:t xml:space="preserve"> タンパク質相互作用とバイオマーカー探索のためのハイスループット解析。</w:t>
      </w:r>
    </w:p>
    <w:p w14:paraId="5E018800" w14:textId="77777777" w:rsidR="00A10A0E" w:rsidRPr="00A10A0E" w:rsidRDefault="00A10A0E" w:rsidP="00A10A0E">
      <w:pPr>
        <w:numPr>
          <w:ilvl w:val="1"/>
          <w:numId w:val="2"/>
        </w:numPr>
      </w:pPr>
      <w:r w:rsidRPr="00A10A0E">
        <w:rPr>
          <w:i/>
          <w:iCs/>
        </w:rPr>
        <w:t>X線結晶構造解析:</w:t>
      </w:r>
      <w:r w:rsidRPr="00A10A0E">
        <w:t xml:space="preserve"> タンパク質構造の決定に不可欠です。</w:t>
      </w:r>
    </w:p>
    <w:p w14:paraId="7BCB619B" w14:textId="77777777" w:rsidR="00A10A0E" w:rsidRPr="00A10A0E" w:rsidRDefault="00A10A0E" w:rsidP="00A10A0E">
      <w:pPr>
        <w:numPr>
          <w:ilvl w:val="0"/>
          <w:numId w:val="2"/>
        </w:numPr>
      </w:pPr>
      <w:r w:rsidRPr="00A10A0E">
        <w:rPr>
          <w:b/>
          <w:bCs/>
        </w:rPr>
        <w:t>アプリケーション別:</w:t>
      </w:r>
    </w:p>
    <w:p w14:paraId="446C6FF1" w14:textId="77777777" w:rsidR="00A10A0E" w:rsidRPr="00A10A0E" w:rsidRDefault="00A10A0E" w:rsidP="00A10A0E">
      <w:pPr>
        <w:numPr>
          <w:ilvl w:val="1"/>
          <w:numId w:val="2"/>
        </w:numPr>
      </w:pPr>
      <w:r w:rsidRPr="00A10A0E">
        <w:rPr>
          <w:i/>
          <w:iCs/>
        </w:rPr>
        <w:t>創薬:</w:t>
      </w:r>
      <w:r w:rsidRPr="00A10A0E">
        <w:t xml:space="preserve"> 新しい治療法の開発を加速します。</w:t>
      </w:r>
    </w:p>
    <w:p w14:paraId="0F0F5B7A" w14:textId="77777777" w:rsidR="00A10A0E" w:rsidRPr="00A10A0E" w:rsidRDefault="00A10A0E" w:rsidP="00A10A0E">
      <w:pPr>
        <w:numPr>
          <w:ilvl w:val="1"/>
          <w:numId w:val="2"/>
        </w:numPr>
      </w:pPr>
      <w:r w:rsidRPr="00A10A0E">
        <w:rPr>
          <w:i/>
          <w:iCs/>
        </w:rPr>
        <w:t>疾患診断:</w:t>
      </w:r>
      <w:r w:rsidRPr="00A10A0E">
        <w:t xml:space="preserve"> 早期発見と個別化治療を可能にします。</w:t>
      </w:r>
    </w:p>
    <w:p w14:paraId="5B351283" w14:textId="77777777" w:rsidR="00A10A0E" w:rsidRPr="00A10A0E" w:rsidRDefault="00A10A0E" w:rsidP="00A10A0E">
      <w:pPr>
        <w:numPr>
          <w:ilvl w:val="1"/>
          <w:numId w:val="2"/>
        </w:numPr>
      </w:pPr>
      <w:r w:rsidRPr="00A10A0E">
        <w:rPr>
          <w:i/>
          <w:iCs/>
        </w:rPr>
        <w:t>臨床診断:</w:t>
      </w:r>
      <w:r w:rsidRPr="00A10A0E">
        <w:t xml:space="preserve"> 疾患特異的なバイオマーカーの同定。</w:t>
      </w:r>
    </w:p>
    <w:p w14:paraId="1E141877" w14:textId="77777777" w:rsidR="00A10A0E" w:rsidRPr="00A10A0E" w:rsidRDefault="00A10A0E" w:rsidP="00A10A0E">
      <w:pPr>
        <w:numPr>
          <w:ilvl w:val="1"/>
          <w:numId w:val="2"/>
        </w:numPr>
      </w:pPr>
      <w:r w:rsidRPr="00A10A0E">
        <w:rPr>
          <w:i/>
          <w:iCs/>
        </w:rPr>
        <w:t>バイオテクノロジー:</w:t>
      </w:r>
      <w:r w:rsidRPr="00A10A0E">
        <w:t xml:space="preserve"> 遺伝学および細胞研究の進歩を支えます。</w:t>
      </w:r>
    </w:p>
    <w:p w14:paraId="03FB3DCA" w14:textId="77777777" w:rsidR="00A10A0E" w:rsidRPr="00A10A0E" w:rsidRDefault="00A10A0E" w:rsidP="00A10A0E">
      <w:pPr>
        <w:numPr>
          <w:ilvl w:val="0"/>
          <w:numId w:val="2"/>
        </w:numPr>
      </w:pPr>
      <w:r w:rsidRPr="00A10A0E">
        <w:rPr>
          <w:b/>
          <w:bCs/>
        </w:rPr>
        <w:t>エンドユーザー別:</w:t>
      </w:r>
    </w:p>
    <w:p w14:paraId="587E1678" w14:textId="77777777" w:rsidR="00A10A0E" w:rsidRPr="00A10A0E" w:rsidRDefault="00A10A0E" w:rsidP="00A10A0E">
      <w:pPr>
        <w:numPr>
          <w:ilvl w:val="1"/>
          <w:numId w:val="2"/>
        </w:numPr>
      </w:pPr>
      <w:r w:rsidRPr="00A10A0E">
        <w:rPr>
          <w:i/>
          <w:iCs/>
        </w:rPr>
        <w:t>製薬・バイオテクノロジー企業</w:t>
      </w:r>
    </w:p>
    <w:p w14:paraId="7830DA40" w14:textId="77777777" w:rsidR="00A10A0E" w:rsidRPr="00A10A0E" w:rsidRDefault="00A10A0E" w:rsidP="00A10A0E">
      <w:pPr>
        <w:numPr>
          <w:ilvl w:val="1"/>
          <w:numId w:val="2"/>
        </w:numPr>
      </w:pPr>
      <w:r w:rsidRPr="00A10A0E">
        <w:rPr>
          <w:i/>
          <w:iCs/>
        </w:rPr>
        <w:t>学術・研究機関</w:t>
      </w:r>
    </w:p>
    <w:p w14:paraId="0531AF3B" w14:textId="77777777" w:rsidR="00A10A0E" w:rsidRPr="00A10A0E" w:rsidRDefault="00A10A0E" w:rsidP="00A10A0E">
      <w:pPr>
        <w:numPr>
          <w:ilvl w:val="1"/>
          <w:numId w:val="2"/>
        </w:numPr>
      </w:pPr>
      <w:r w:rsidRPr="00A10A0E">
        <w:rPr>
          <w:i/>
          <w:iCs/>
        </w:rPr>
        <w:t>臨床検査室</w:t>
      </w:r>
    </w:p>
    <w:p w14:paraId="5E1C2626" w14:textId="77777777" w:rsidR="00A10A0E" w:rsidRPr="00A10A0E" w:rsidRDefault="00A10A0E" w:rsidP="00A10A0E">
      <w:pPr>
        <w:numPr>
          <w:ilvl w:val="1"/>
          <w:numId w:val="2"/>
        </w:numPr>
      </w:pPr>
      <w:r w:rsidRPr="00A10A0E">
        <w:rPr>
          <w:i/>
          <w:iCs/>
        </w:rPr>
        <w:t>病院と診断センター</w:t>
      </w:r>
    </w:p>
    <w:p w14:paraId="78F07716" w14:textId="77777777" w:rsidR="00A10A0E" w:rsidRPr="00A10A0E" w:rsidRDefault="00A10A0E" w:rsidP="00A10A0E">
      <w:pPr>
        <w:numPr>
          <w:ilvl w:val="0"/>
          <w:numId w:val="2"/>
        </w:numPr>
      </w:pPr>
      <w:r w:rsidRPr="00A10A0E">
        <w:rPr>
          <w:b/>
          <w:bCs/>
        </w:rPr>
        <w:t>地域別:</w:t>
      </w:r>
    </w:p>
    <w:p w14:paraId="3C158DCA" w14:textId="77777777" w:rsidR="00A10A0E" w:rsidRPr="00A10A0E" w:rsidRDefault="00A10A0E" w:rsidP="00A10A0E">
      <w:pPr>
        <w:numPr>
          <w:ilvl w:val="1"/>
          <w:numId w:val="2"/>
        </w:numPr>
      </w:pPr>
      <w:r w:rsidRPr="00A10A0E">
        <w:rPr>
          <w:b/>
          <w:bCs/>
        </w:rPr>
        <w:t>北米:</w:t>
      </w:r>
      <w:r w:rsidRPr="00A10A0E">
        <w:t xml:space="preserve"> 研究と高度な医療インフラへの多額の投資で市場をリードしています。</w:t>
      </w:r>
    </w:p>
    <w:p w14:paraId="21ED4F88" w14:textId="77777777" w:rsidR="00A10A0E" w:rsidRPr="00A10A0E" w:rsidRDefault="00A10A0E" w:rsidP="00A10A0E">
      <w:pPr>
        <w:numPr>
          <w:ilvl w:val="1"/>
          <w:numId w:val="2"/>
        </w:numPr>
      </w:pPr>
      <w:r w:rsidRPr="00A10A0E">
        <w:rPr>
          <w:b/>
          <w:bCs/>
        </w:rPr>
        <w:t>ヨーロッパ:</w:t>
      </w:r>
      <w:r w:rsidRPr="00A10A0E">
        <w:t xml:space="preserve"> 創薬および診断におけるプロテオミクス技術に対する高い需要。</w:t>
      </w:r>
    </w:p>
    <w:p w14:paraId="2810E362" w14:textId="77777777" w:rsidR="00A10A0E" w:rsidRPr="00A10A0E" w:rsidRDefault="00A10A0E" w:rsidP="00A10A0E">
      <w:pPr>
        <w:numPr>
          <w:ilvl w:val="1"/>
          <w:numId w:val="2"/>
        </w:numPr>
      </w:pPr>
      <w:r w:rsidRPr="00A10A0E">
        <w:rPr>
          <w:b/>
          <w:bCs/>
        </w:rPr>
        <w:t>アジア太平洋地域:</w:t>
      </w:r>
      <w:r w:rsidRPr="00A10A0E">
        <w:t xml:space="preserve"> 研究開発活動の増加とバイオテクノロジーの新興企業の台頭により、急成長を遂げています。</w:t>
      </w:r>
    </w:p>
    <w:p w14:paraId="2AEFEB50" w14:textId="77777777" w:rsidR="00A10A0E" w:rsidRPr="00A10A0E" w:rsidRDefault="00A10A0E" w:rsidP="00A10A0E">
      <w:pPr>
        <w:numPr>
          <w:ilvl w:val="1"/>
          <w:numId w:val="2"/>
        </w:numPr>
      </w:pPr>
      <w:r w:rsidRPr="00A10A0E">
        <w:rPr>
          <w:b/>
          <w:bCs/>
        </w:rPr>
        <w:t>中東・アフリカ:</w:t>
      </w:r>
      <w:r w:rsidRPr="00A10A0E">
        <w:t xml:space="preserve"> ヘルスケアのイノベーションと研究に焦点を当てた新興市場。</w:t>
      </w:r>
    </w:p>
    <w:p w14:paraId="24622936" w14:textId="4680DB1A" w:rsidR="00A10A0E" w:rsidRPr="00A10A0E" w:rsidRDefault="00A10A0E" w:rsidP="00A10A0E">
      <w:r w:rsidRPr="00A10A0E">
        <w:t xml:space="preserve">カスタマイズされたレポートについては、カスタマイズをリクエストするためにお問い合わせください https://www.skyquestt.com/speak-with-analyst/proteomics-market </w:t>
      </w:r>
      <w:hyperlink r:id="rId6" w:history="1"/>
      <w:r w:rsidRPr="00A10A0E">
        <w:t xml:space="preserve"> </w:t>
      </w:r>
    </w:p>
    <w:p w14:paraId="4C56AD6E" w14:textId="6A1435D5" w:rsidR="00A10A0E" w:rsidRPr="00A10A0E" w:rsidRDefault="00A10A0E" w:rsidP="00A10A0E">
      <w:pPr>
        <w:rPr>
          <w:b/>
          <w:bCs/>
        </w:rPr>
      </w:pPr>
      <w:r w:rsidRPr="00A10A0E">
        <w:rPr>
          <w:b/>
          <w:bCs/>
        </w:rPr>
        <w:t>プロテオミクス市場における課題</w:t>
      </w:r>
    </w:p>
    <w:p w14:paraId="34482CA1" w14:textId="77777777" w:rsidR="00A10A0E" w:rsidRPr="00A10A0E" w:rsidRDefault="00A10A0E" w:rsidP="00A10A0E">
      <w:pPr>
        <w:numPr>
          <w:ilvl w:val="0"/>
          <w:numId w:val="3"/>
        </w:numPr>
      </w:pPr>
      <w:r w:rsidRPr="00A10A0E">
        <w:rPr>
          <w:b/>
          <w:bCs/>
        </w:rPr>
        <w:t>プロテオミクスのツールとテクノロジーの高コスト高度なプロテオミクス機器とソフトウェアの費用は、特にリソースに制約のある地域では採用を制限する可能性があります。</w:t>
      </w:r>
    </w:p>
    <w:p w14:paraId="4FE4E3E5" w14:textId="77777777" w:rsidR="00A10A0E" w:rsidRPr="00A10A0E" w:rsidRDefault="00A10A0E" w:rsidP="00A10A0E">
      <w:pPr>
        <w:numPr>
          <w:ilvl w:val="0"/>
          <w:numId w:val="3"/>
        </w:numPr>
      </w:pPr>
      <w:r w:rsidRPr="00A10A0E">
        <w:rPr>
          <w:b/>
          <w:bCs/>
        </w:rPr>
        <w:t>複雑なデータ解析大規模なプロテオミクスデータの解釈には、高度なバイオインフォマティクスツールと専門知識が必要であり、研究者にとって課題となっています。</w:t>
      </w:r>
    </w:p>
    <w:p w14:paraId="1B07A601" w14:textId="77777777" w:rsidR="00A10A0E" w:rsidRPr="00A10A0E" w:rsidRDefault="00A10A0E" w:rsidP="00A10A0E">
      <w:pPr>
        <w:numPr>
          <w:ilvl w:val="0"/>
          <w:numId w:val="3"/>
        </w:numPr>
      </w:pPr>
      <w:r w:rsidRPr="00A10A0E">
        <w:rPr>
          <w:b/>
          <w:bCs/>
        </w:rPr>
        <w:t>規制および倫理的懸念ヒトを対象とするプロテオミクス研究は、複雑な規制の枠組みと倫理的考慮事項をナビゲートする必要があります。</w:t>
      </w:r>
    </w:p>
    <w:p w14:paraId="0F7837BA" w14:textId="77777777" w:rsidR="00A10A0E" w:rsidRPr="00A10A0E" w:rsidRDefault="00A10A0E" w:rsidP="00A10A0E">
      <w:pPr>
        <w:numPr>
          <w:ilvl w:val="0"/>
          <w:numId w:val="3"/>
        </w:numPr>
      </w:pPr>
      <w:r w:rsidRPr="00A10A0E">
        <w:rPr>
          <w:b/>
          <w:bCs/>
        </w:rPr>
        <w:lastRenderedPageBreak/>
        <w:t>限られた熟練した専門家プロテオミクス技術を操作し、データを分析するための訓練を受けた人員が不足していると、市場の成長が妨げられる可能性があります。</w:t>
      </w:r>
    </w:p>
    <w:p w14:paraId="6F4E4080" w14:textId="77777777" w:rsidR="00A10A0E" w:rsidRPr="00A10A0E" w:rsidRDefault="00A10A0E" w:rsidP="00A10A0E">
      <w:pPr>
        <w:rPr>
          <w:b/>
          <w:bCs/>
        </w:rPr>
      </w:pPr>
      <w:r w:rsidRPr="00A10A0E">
        <w:rPr>
          <w:b/>
          <w:bCs/>
        </w:rPr>
        <w:t>プロテオミクス市場の新たなトレンド</w:t>
      </w:r>
    </w:p>
    <w:p w14:paraId="280D65CA" w14:textId="77777777" w:rsidR="00A10A0E" w:rsidRPr="00A10A0E" w:rsidRDefault="00A10A0E" w:rsidP="00A10A0E">
      <w:pPr>
        <w:numPr>
          <w:ilvl w:val="0"/>
          <w:numId w:val="4"/>
        </w:numPr>
      </w:pPr>
      <w:r w:rsidRPr="00A10A0E">
        <w:rPr>
          <w:b/>
          <w:bCs/>
        </w:rPr>
        <w:t>人工知能(AI)の統合AI</w:t>
      </w:r>
      <w:r w:rsidRPr="00A10A0E">
        <w:br/>
        <w:t>駆動のアルゴリズムは、プロテオミクスデータ解析を変革し、タンパク質相互作用のより迅速かつ正確な解釈を可能にしています。</w:t>
      </w:r>
    </w:p>
    <w:p w14:paraId="2506B074" w14:textId="77777777" w:rsidR="00A10A0E" w:rsidRPr="00A10A0E" w:rsidRDefault="00A10A0E" w:rsidP="00A10A0E">
      <w:pPr>
        <w:numPr>
          <w:ilvl w:val="0"/>
          <w:numId w:val="4"/>
        </w:numPr>
      </w:pPr>
      <w:r w:rsidRPr="00A10A0E">
        <w:rPr>
          <w:b/>
          <w:bCs/>
        </w:rPr>
        <w:t>シングルセルプロテオミクスの開発シングルセルプロテオミクスは、個々の細胞タンパク質発現を研究する最先端のアプローチとして注目を集めており、がん研究と精密医療の新たな扉を開いています。</w:t>
      </w:r>
    </w:p>
    <w:p w14:paraId="0CAC2337" w14:textId="77777777" w:rsidR="00A10A0E" w:rsidRPr="00A10A0E" w:rsidRDefault="00A10A0E" w:rsidP="00A10A0E">
      <w:pPr>
        <w:numPr>
          <w:ilvl w:val="0"/>
          <w:numId w:val="4"/>
        </w:numPr>
      </w:pPr>
      <w:r w:rsidRPr="00A10A0E">
        <w:rPr>
          <w:b/>
          <w:bCs/>
        </w:rPr>
        <w:t>プロテオミクスにおけるナノテクノロジーの利用ナノテクノロジーに基づく方法が、タンパク質の検出と定量のために開発されており、感度と効率が向上しています。</w:t>
      </w:r>
    </w:p>
    <w:p w14:paraId="42CFBCFD" w14:textId="77777777" w:rsidR="00A10A0E" w:rsidRPr="00A10A0E" w:rsidRDefault="00A10A0E" w:rsidP="00A10A0E">
      <w:pPr>
        <w:numPr>
          <w:ilvl w:val="0"/>
          <w:numId w:val="4"/>
        </w:numPr>
      </w:pPr>
      <w:r w:rsidRPr="00A10A0E">
        <w:rPr>
          <w:b/>
          <w:bCs/>
        </w:rPr>
        <w:t>エピジェネティクスとプロテオゲノミクスへの注目の高まりゲノミクスとプロテオミクスの統合であるプロテオゲノミクスは、複雑な生物学的プロセスを理解するための有望な分野として浮上しています。</w:t>
      </w:r>
    </w:p>
    <w:p w14:paraId="3691FEBE" w14:textId="77777777" w:rsidR="00A10A0E" w:rsidRPr="00A10A0E" w:rsidRDefault="00A10A0E" w:rsidP="00A10A0E">
      <w:pPr>
        <w:numPr>
          <w:ilvl w:val="0"/>
          <w:numId w:val="4"/>
        </w:numPr>
      </w:pPr>
      <w:r w:rsidRPr="00A10A0E">
        <w:rPr>
          <w:b/>
          <w:bCs/>
        </w:rPr>
        <w:t>コラボレーションとパートナーシップ学術機関、バイオテクノロジー企業、製薬会社は、プロテオミクス研究とその臨床応用への応用を加速するために、ますます協力しています。</w:t>
      </w:r>
    </w:p>
    <w:p w14:paraId="33169EBA" w14:textId="27DC1119" w:rsidR="00A10A0E" w:rsidRDefault="00A10A0E" w:rsidP="00A10A0E">
      <w:r w:rsidRPr="00A10A0E">
        <w:t>今すぐ購入して、貴重な洞察を得て最新情報を入手してください:</w:t>
      </w:r>
      <w:hyperlink r:id="rId7" w:history="1">
        <w:r w:rsidRPr="000A6B49">
          <w:rPr>
            <w:rStyle w:val="Hyperlink"/>
          </w:rPr>
          <w:t>https://www.skyquestt.com/buy-now/proteomics-market</w:t>
        </w:r>
      </w:hyperlink>
      <w:r>
        <w:t xml:space="preserve"> </w:t>
      </w:r>
    </w:p>
    <w:p w14:paraId="1768866D" w14:textId="77777777" w:rsidR="00A10A0E" w:rsidRPr="00A10A0E" w:rsidRDefault="00A10A0E" w:rsidP="00A10A0E">
      <w:pPr>
        <w:rPr>
          <w:b/>
          <w:bCs/>
        </w:rPr>
      </w:pPr>
      <w:r w:rsidRPr="00A10A0E">
        <w:rPr>
          <w:b/>
          <w:bCs/>
        </w:rPr>
        <w:t xml:space="preserve">トッププレイヤーの会社概要 </w:t>
      </w:r>
    </w:p>
    <w:p w14:paraId="1FF9CD68" w14:textId="77777777" w:rsidR="00A10A0E" w:rsidRDefault="00A10A0E" w:rsidP="00A10A0E">
      <w:pPr>
        <w:pStyle w:val="ListParagraph"/>
        <w:numPr>
          <w:ilvl w:val="0"/>
          <w:numId w:val="5"/>
        </w:numPr>
      </w:pPr>
      <w:r>
        <w:t xml:space="preserve">サーモフィッシャーサイエンティフィック(米国) </w:t>
      </w:r>
    </w:p>
    <w:p w14:paraId="4D49BF09" w14:textId="77777777" w:rsidR="00A10A0E" w:rsidRDefault="00A10A0E" w:rsidP="00A10A0E">
      <w:pPr>
        <w:pStyle w:val="ListParagraph"/>
        <w:numPr>
          <w:ilvl w:val="0"/>
          <w:numId w:val="5"/>
        </w:numPr>
      </w:pPr>
      <w:r>
        <w:t xml:space="preserve">Agilent Technologies(米国) </w:t>
      </w:r>
    </w:p>
    <w:p w14:paraId="21329536" w14:textId="77777777" w:rsidR="00A10A0E" w:rsidRDefault="00A10A0E" w:rsidP="00A10A0E">
      <w:pPr>
        <w:pStyle w:val="ListParagraph"/>
        <w:numPr>
          <w:ilvl w:val="0"/>
          <w:numId w:val="5"/>
        </w:numPr>
      </w:pPr>
      <w:r>
        <w:t xml:space="preserve">SCIEX (アメリカ) </w:t>
      </w:r>
    </w:p>
    <w:p w14:paraId="2C930366" w14:textId="77777777" w:rsidR="00A10A0E" w:rsidRDefault="00A10A0E" w:rsidP="00A10A0E">
      <w:pPr>
        <w:pStyle w:val="ListParagraph"/>
        <w:numPr>
          <w:ilvl w:val="0"/>
          <w:numId w:val="5"/>
        </w:numPr>
      </w:pPr>
      <w:r>
        <w:t xml:space="preserve">Waters Corporation (米国) </w:t>
      </w:r>
    </w:p>
    <w:p w14:paraId="1EF61E2C" w14:textId="77777777" w:rsidR="00A10A0E" w:rsidRDefault="00A10A0E" w:rsidP="00A10A0E">
      <w:pPr>
        <w:pStyle w:val="ListParagraph"/>
        <w:numPr>
          <w:ilvl w:val="0"/>
          <w:numId w:val="5"/>
        </w:numPr>
      </w:pPr>
      <w:r>
        <w:t xml:space="preserve">Bruker Corporation (ドイツ) </w:t>
      </w:r>
    </w:p>
    <w:p w14:paraId="62F047B6" w14:textId="77777777" w:rsidR="00A10A0E" w:rsidRDefault="00A10A0E" w:rsidP="00A10A0E">
      <w:pPr>
        <w:pStyle w:val="ListParagraph"/>
        <w:numPr>
          <w:ilvl w:val="0"/>
          <w:numId w:val="5"/>
        </w:numPr>
      </w:pPr>
      <w:r>
        <w:t xml:space="preserve">ダナハーコーポレーション(米国) </w:t>
      </w:r>
    </w:p>
    <w:p w14:paraId="36FC0721" w14:textId="77777777" w:rsidR="00A10A0E" w:rsidRDefault="00A10A0E" w:rsidP="00A10A0E">
      <w:pPr>
        <w:pStyle w:val="ListParagraph"/>
        <w:numPr>
          <w:ilvl w:val="0"/>
          <w:numId w:val="5"/>
        </w:numPr>
      </w:pPr>
      <w:r>
        <w:t xml:space="preserve">PerkinElmer, Inc.(米国) </w:t>
      </w:r>
    </w:p>
    <w:p w14:paraId="7DAA5A0C" w14:textId="77777777" w:rsidR="00A10A0E" w:rsidRDefault="00A10A0E" w:rsidP="00A10A0E">
      <w:pPr>
        <w:pStyle w:val="ListParagraph"/>
        <w:numPr>
          <w:ilvl w:val="0"/>
          <w:numId w:val="5"/>
        </w:numPr>
      </w:pPr>
      <w:r>
        <w:t xml:space="preserve">GEヘルスケア・ライフサイエンス(英国) </w:t>
      </w:r>
    </w:p>
    <w:p w14:paraId="0B4D6F21" w14:textId="77777777" w:rsidR="00A10A0E" w:rsidRDefault="00A10A0E" w:rsidP="00A10A0E">
      <w:pPr>
        <w:pStyle w:val="ListParagraph"/>
        <w:numPr>
          <w:ilvl w:val="0"/>
          <w:numId w:val="5"/>
        </w:numPr>
      </w:pPr>
      <w:r>
        <w:t xml:space="preserve">バイオ・ラッド・ラボラトリーズ (米国) </w:t>
      </w:r>
    </w:p>
    <w:p w14:paraId="34AD06B4" w14:textId="77777777" w:rsidR="00A10A0E" w:rsidRDefault="00A10A0E" w:rsidP="00A10A0E">
      <w:pPr>
        <w:pStyle w:val="ListParagraph"/>
        <w:numPr>
          <w:ilvl w:val="0"/>
          <w:numId w:val="5"/>
        </w:numPr>
      </w:pPr>
      <w:r>
        <w:t xml:space="preserve">Luminex Corporation (米国) </w:t>
      </w:r>
    </w:p>
    <w:p w14:paraId="6CE6E654" w14:textId="77777777" w:rsidR="00A10A0E" w:rsidRDefault="00A10A0E" w:rsidP="00A10A0E">
      <w:pPr>
        <w:pStyle w:val="ListParagraph"/>
        <w:numPr>
          <w:ilvl w:val="0"/>
          <w:numId w:val="5"/>
        </w:numPr>
      </w:pPr>
      <w:r>
        <w:t xml:space="preserve">シンワ化学工業(日本) </w:t>
      </w:r>
    </w:p>
    <w:p w14:paraId="711F1488" w14:textId="77777777" w:rsidR="00A10A0E" w:rsidRDefault="00A10A0E" w:rsidP="00A10A0E">
      <w:pPr>
        <w:pStyle w:val="ListParagraph"/>
        <w:numPr>
          <w:ilvl w:val="0"/>
          <w:numId w:val="5"/>
        </w:numPr>
      </w:pPr>
      <w:r>
        <w:t xml:space="preserve">Nexelis(カナダ) </w:t>
      </w:r>
    </w:p>
    <w:p w14:paraId="50639486" w14:textId="77777777" w:rsidR="00A10A0E" w:rsidRDefault="00A10A0E" w:rsidP="00A10A0E">
      <w:pPr>
        <w:pStyle w:val="ListParagraph"/>
        <w:numPr>
          <w:ilvl w:val="0"/>
          <w:numId w:val="5"/>
        </w:numPr>
      </w:pPr>
      <w:r>
        <w:t xml:space="preserve">Proteome Sciences(イギリス) </w:t>
      </w:r>
    </w:p>
    <w:p w14:paraId="1745C0E8" w14:textId="77777777" w:rsidR="00A10A0E" w:rsidRDefault="00A10A0E" w:rsidP="00A10A0E">
      <w:pPr>
        <w:pStyle w:val="ListParagraph"/>
        <w:numPr>
          <w:ilvl w:val="0"/>
          <w:numId w:val="5"/>
        </w:numPr>
      </w:pPr>
      <w:r>
        <w:t xml:space="preserve">Molecular Devices(米国) </w:t>
      </w:r>
    </w:p>
    <w:p w14:paraId="0F0F0E4D" w14:textId="6A065128" w:rsidR="00A10A0E" w:rsidRPr="00A10A0E" w:rsidRDefault="00A10A0E" w:rsidP="00A10A0E">
      <w:pPr>
        <w:pStyle w:val="ListParagraph"/>
        <w:numPr>
          <w:ilvl w:val="0"/>
          <w:numId w:val="5"/>
        </w:numPr>
      </w:pPr>
      <w:r>
        <w:t>協和キリン(日本)</w:t>
      </w:r>
    </w:p>
    <w:p w14:paraId="3BF3C572" w14:textId="707B8D85" w:rsidR="00A10A0E" w:rsidRPr="00A10A0E" w:rsidRDefault="00A10A0E" w:rsidP="00A10A0E">
      <w:pPr>
        <w:rPr>
          <w:b/>
          <w:bCs/>
        </w:rPr>
      </w:pPr>
      <w:proofErr w:type="spellStart"/>
      <w:r w:rsidRPr="00A10A0E">
        <w:rPr>
          <w:b/>
          <w:bCs/>
        </w:rPr>
        <w:t>今後の見通し</w:t>
      </w:r>
      <w:proofErr w:type="spellEnd"/>
    </w:p>
    <w:p w14:paraId="11EA6C53" w14:textId="77777777" w:rsidR="00A10A0E" w:rsidRPr="00A10A0E" w:rsidRDefault="00A10A0E" w:rsidP="00A10A0E">
      <w:r w:rsidRPr="00A10A0E">
        <w:lastRenderedPageBreak/>
        <w:t>プロテオミクス市場は、ライフサイエンスと医学の未来を形作る上で極めて重要な役割を果たすとされています。標的治療や早期診断ツールの需要が高まる中、プロテオミクス技術はイノベーションの最前線に留まり続けるでしょう。</w:t>
      </w:r>
    </w:p>
    <w:p w14:paraId="694A71AF" w14:textId="307016F6" w:rsidR="00A10A0E" w:rsidRDefault="00A10A0E" w:rsidP="00A10A0E">
      <w:r w:rsidRPr="00A10A0E">
        <w:t>高コストやデータの複雑さなどの課題は依然として残っていますが、AI、バイオインフォマティクス、ナノテクノロジーの進歩により、これらのハードルが克服されることが期待されています。研究への投資の増加と個別化医療への注目の高まりにより、プロテオミクス市場は堅調な成長を遂げる準備ができており、ヘルスケアとバイオテクノロジーのブレークスルーを推進し続けるでしょう。</w:t>
      </w:r>
    </w:p>
    <w:p w14:paraId="31C836B2" w14:textId="77777777" w:rsidR="00FF3F9A" w:rsidRPr="00A10A0E" w:rsidRDefault="00FF3F9A" w:rsidP="00FF3F9A">
      <w:pPr>
        <w:rPr>
          <w:bCs/>
        </w:rPr>
      </w:pPr>
      <w:proofErr w:type="spellStart"/>
      <w:r w:rsidRPr="00A10A0E">
        <w:rPr>
          <w:rFonts w:ascii="MS Gothic" w:eastAsia="MS Gothic" w:hAnsi="MS Gothic" w:cs="MS Gothic" w:hint="eastAsia"/>
          <w:bCs/>
        </w:rPr>
        <w:t>レポート全文は、</w:t>
      </w:r>
      <w:hyperlink r:id="rId8" w:history="1">
        <w:r w:rsidRPr="000A6B49">
          <w:rPr>
            <w:rStyle w:val="Hyperlink"/>
            <w:bCs/>
          </w:rPr>
          <w:t>https</w:t>
        </w:r>
        <w:proofErr w:type="spellEnd"/>
        <w:r w:rsidRPr="000A6B49">
          <w:rPr>
            <w:rStyle w:val="Hyperlink"/>
            <w:bCs/>
          </w:rPr>
          <w:t>://www.skyquestt.com/report/proteomics-market</w:t>
        </w:r>
      </w:hyperlink>
      <w:r>
        <w:rPr>
          <w:bCs/>
        </w:rPr>
        <w:t xml:space="preserve"> </w:t>
      </w:r>
      <w:r w:rsidRPr="00A10A0E">
        <w:rPr>
          <w:bCs/>
        </w:rPr>
        <w:t xml:space="preserve"> </w:t>
      </w:r>
      <w:proofErr w:type="spellStart"/>
      <w:r w:rsidRPr="00A10A0E">
        <w:rPr>
          <w:rFonts w:ascii="MS Gothic" w:eastAsia="MS Gothic" w:hAnsi="MS Gothic" w:cs="MS Gothic" w:hint="eastAsia"/>
          <w:bCs/>
        </w:rPr>
        <w:t>をご覧ください</w:t>
      </w:r>
      <w:proofErr w:type="spellEnd"/>
      <w:r w:rsidRPr="00A10A0E">
        <w:rPr>
          <w:rFonts w:ascii="MS Gothic" w:eastAsia="MS Gothic" w:hAnsi="MS Gothic" w:cs="MS Gothic" w:hint="eastAsia"/>
          <w:bCs/>
        </w:rPr>
        <w:t>。</w:t>
      </w:r>
      <w:r w:rsidRPr="00A10A0E">
        <w:rPr>
          <w:bCs/>
        </w:rPr>
        <w:t xml:space="preserve"> </w:t>
      </w:r>
      <w:hyperlink r:id="rId9" w:history="1"/>
      <w:r>
        <w:rPr>
          <w:bCs/>
        </w:rPr>
        <w:t xml:space="preserve"> </w:t>
      </w:r>
    </w:p>
    <w:p w14:paraId="1E22A2B2" w14:textId="77777777" w:rsidR="00FF3F9A" w:rsidRPr="00A10A0E" w:rsidRDefault="00FF3F9A" w:rsidP="00A10A0E"/>
    <w:sectPr w:rsidR="00FF3F9A" w:rsidRPr="00A10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C6F3F"/>
    <w:multiLevelType w:val="hybridMultilevel"/>
    <w:tmpl w:val="46E2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3479F"/>
    <w:multiLevelType w:val="multilevel"/>
    <w:tmpl w:val="B308E804"/>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4A710803"/>
    <w:multiLevelType w:val="multilevel"/>
    <w:tmpl w:val="178E0AC6"/>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4CF510BA"/>
    <w:multiLevelType w:val="multilevel"/>
    <w:tmpl w:val="B2F267E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506C1873"/>
    <w:multiLevelType w:val="multilevel"/>
    <w:tmpl w:val="503EB5D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537932004">
    <w:abstractNumId w:val="3"/>
  </w:num>
  <w:num w:numId="2" w16cid:durableId="831602790">
    <w:abstractNumId w:val="1"/>
  </w:num>
  <w:num w:numId="3" w16cid:durableId="1154567258">
    <w:abstractNumId w:val="2"/>
  </w:num>
  <w:num w:numId="4" w16cid:durableId="552932543">
    <w:abstractNumId w:val="4"/>
  </w:num>
  <w:num w:numId="5" w16cid:durableId="186582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0E"/>
    <w:rsid w:val="000C493F"/>
    <w:rsid w:val="003C5E1A"/>
    <w:rsid w:val="00550CFA"/>
    <w:rsid w:val="00A10A0E"/>
    <w:rsid w:val="00BF2FC5"/>
    <w:rsid w:val="00D07779"/>
    <w:rsid w:val="00D41460"/>
    <w:rsid w:val="00EF7EED"/>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A3BB"/>
  <w15:chartTrackingRefBased/>
  <w15:docId w15:val="{6E561769-B5A9-440F-BBFE-E5B1FE30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A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A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A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A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A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A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A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A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A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A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A0E"/>
    <w:rPr>
      <w:rFonts w:eastAsiaTheme="majorEastAsia" w:cstheme="majorBidi"/>
      <w:color w:val="272727" w:themeColor="text1" w:themeTint="D8"/>
    </w:rPr>
  </w:style>
  <w:style w:type="paragraph" w:styleId="Title">
    <w:name w:val="Title"/>
    <w:basedOn w:val="Normal"/>
    <w:next w:val="Normal"/>
    <w:link w:val="TitleChar"/>
    <w:uiPriority w:val="10"/>
    <w:qFormat/>
    <w:rsid w:val="00A10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A0E"/>
    <w:pPr>
      <w:spacing w:before="160"/>
      <w:jc w:val="center"/>
    </w:pPr>
    <w:rPr>
      <w:i/>
      <w:iCs/>
      <w:color w:val="404040" w:themeColor="text1" w:themeTint="BF"/>
    </w:rPr>
  </w:style>
  <w:style w:type="character" w:customStyle="1" w:styleId="QuoteChar">
    <w:name w:val="Quote Char"/>
    <w:basedOn w:val="DefaultParagraphFont"/>
    <w:link w:val="Quote"/>
    <w:uiPriority w:val="29"/>
    <w:rsid w:val="00A10A0E"/>
    <w:rPr>
      <w:i/>
      <w:iCs/>
      <w:color w:val="404040" w:themeColor="text1" w:themeTint="BF"/>
    </w:rPr>
  </w:style>
  <w:style w:type="paragraph" w:styleId="ListParagraph">
    <w:name w:val="List Paragraph"/>
    <w:basedOn w:val="Normal"/>
    <w:uiPriority w:val="34"/>
    <w:qFormat/>
    <w:rsid w:val="00A10A0E"/>
    <w:pPr>
      <w:ind w:left="720"/>
      <w:contextualSpacing/>
    </w:pPr>
  </w:style>
  <w:style w:type="character" w:styleId="IntenseEmphasis">
    <w:name w:val="Intense Emphasis"/>
    <w:basedOn w:val="DefaultParagraphFont"/>
    <w:uiPriority w:val="21"/>
    <w:qFormat/>
    <w:rsid w:val="00A10A0E"/>
    <w:rPr>
      <w:i/>
      <w:iCs/>
      <w:color w:val="2F5496" w:themeColor="accent1" w:themeShade="BF"/>
    </w:rPr>
  </w:style>
  <w:style w:type="paragraph" w:styleId="IntenseQuote">
    <w:name w:val="Intense Quote"/>
    <w:basedOn w:val="Normal"/>
    <w:next w:val="Normal"/>
    <w:link w:val="IntenseQuoteChar"/>
    <w:uiPriority w:val="30"/>
    <w:qFormat/>
    <w:rsid w:val="00A10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A0E"/>
    <w:rPr>
      <w:i/>
      <w:iCs/>
      <w:color w:val="2F5496" w:themeColor="accent1" w:themeShade="BF"/>
    </w:rPr>
  </w:style>
  <w:style w:type="character" w:styleId="IntenseReference">
    <w:name w:val="Intense Reference"/>
    <w:basedOn w:val="DefaultParagraphFont"/>
    <w:uiPriority w:val="32"/>
    <w:qFormat/>
    <w:rsid w:val="00A10A0E"/>
    <w:rPr>
      <w:b/>
      <w:bCs/>
      <w:smallCaps/>
      <w:color w:val="2F5496" w:themeColor="accent1" w:themeShade="BF"/>
      <w:spacing w:val="5"/>
    </w:rPr>
  </w:style>
  <w:style w:type="character" w:styleId="Hyperlink">
    <w:name w:val="Hyperlink"/>
    <w:basedOn w:val="DefaultParagraphFont"/>
    <w:uiPriority w:val="99"/>
    <w:unhideWhenUsed/>
    <w:rsid w:val="00A10A0E"/>
    <w:rPr>
      <w:color w:val="0563C1" w:themeColor="hyperlink"/>
      <w:u w:val="single"/>
    </w:rPr>
  </w:style>
  <w:style w:type="character" w:styleId="UnresolvedMention">
    <w:name w:val="Unresolved Mention"/>
    <w:basedOn w:val="DefaultParagraphFont"/>
    <w:uiPriority w:val="99"/>
    <w:semiHidden/>
    <w:unhideWhenUsed/>
    <w:rsid w:val="00A10A0E"/>
    <w:rPr>
      <w:color w:val="605E5C"/>
      <w:shd w:val="clear" w:color="auto" w:fill="E1DFDD"/>
    </w:rPr>
  </w:style>
  <w:style w:type="character" w:styleId="PlaceholderText">
    <w:name w:val="Placeholder Text"/>
    <w:basedOn w:val="DefaultParagraphFont"/>
    <w:uiPriority w:val="99"/>
    <w:semiHidden/>
    <w:rsid w:val="00D414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8386">
      <w:bodyDiv w:val="1"/>
      <w:marLeft w:val="0"/>
      <w:marRight w:val="0"/>
      <w:marTop w:val="0"/>
      <w:marBottom w:val="0"/>
      <w:divBdr>
        <w:top w:val="none" w:sz="0" w:space="0" w:color="auto"/>
        <w:left w:val="none" w:sz="0" w:space="0" w:color="auto"/>
        <w:bottom w:val="none" w:sz="0" w:space="0" w:color="auto"/>
        <w:right w:val="none" w:sz="0" w:space="0" w:color="auto"/>
      </w:divBdr>
    </w:div>
    <w:div w:id="863174786">
      <w:bodyDiv w:val="1"/>
      <w:marLeft w:val="0"/>
      <w:marRight w:val="0"/>
      <w:marTop w:val="0"/>
      <w:marBottom w:val="0"/>
      <w:divBdr>
        <w:top w:val="none" w:sz="0" w:space="0" w:color="auto"/>
        <w:left w:val="none" w:sz="0" w:space="0" w:color="auto"/>
        <w:bottom w:val="none" w:sz="0" w:space="0" w:color="auto"/>
        <w:right w:val="none" w:sz="0" w:space="0" w:color="auto"/>
      </w:divBdr>
    </w:div>
    <w:div w:id="20727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proteomics-market" TargetMode="External"/><Relationship Id="rId3" Type="http://schemas.openxmlformats.org/officeDocument/2006/relationships/settings" Target="settings.xml"/><Relationship Id="rId7" Type="http://schemas.openxmlformats.org/officeDocument/2006/relationships/hyperlink" Target="https://www.skyquestt.com/buy-now/proteom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roteomics-market" TargetMode="External"/><Relationship Id="rId11" Type="http://schemas.openxmlformats.org/officeDocument/2006/relationships/theme" Target="theme/theme1.xml"/><Relationship Id="rId5" Type="http://schemas.openxmlformats.org/officeDocument/2006/relationships/hyperlink" Target="https://www.skyquestt.com/sample-request/proteomic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proteomic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2025-01-31T11:41:00Z</dcterms:created>
  <dcterms:modified xsi:type="dcterms:W3CDTF">2025-01-31T11:47:00Z</dcterms:modified>
</cp:coreProperties>
</file>