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339A" w14:textId="41EEC793" w:rsidR="0005752C" w:rsidRDefault="0005752C" w:rsidP="0005752C">
      <w:proofErr w:type="spellStart"/>
      <w:r w:rsidRPr="0005752C">
        <w:rPr>
          <w:b/>
          <w:bCs/>
        </w:rPr>
        <w:t>リキッドバイオプシー</w:t>
      </w:r>
      <w:proofErr w:type="gramStart"/>
      <w:r w:rsidRPr="0005752C">
        <w:rPr>
          <w:b/>
          <w:bCs/>
        </w:rPr>
        <w:t>市場:がん</w:t>
      </w:r>
      <w:proofErr w:type="gramEnd"/>
      <w:r w:rsidRPr="0005752C">
        <w:rPr>
          <w:b/>
          <w:bCs/>
        </w:rPr>
        <w:t>検出と個別化治療の革命</w:t>
      </w:r>
      <w:proofErr w:type="spellEnd"/>
    </w:p>
    <w:p w14:paraId="22307F77" w14:textId="5C98775E" w:rsidR="0005752C" w:rsidRDefault="0005752C" w:rsidP="0005752C">
      <w:r w:rsidRPr="0005752C">
        <w:t>リキッドバイオプシーは、血液などの体液中のがん関連バイオマーカーを検出する革新的な非侵襲的診断技術です。従来の組織生検とは異なり、リキッドバイオプシーは侵襲性の低いアプローチを提供し、がんの早期発見、治療反応のモニタリング、および個別化された治療調整を可能にします。</w:t>
      </w:r>
    </w:p>
    <w:p w14:paraId="7F9F3486" w14:textId="6FB2DF06" w:rsidR="0005752C" w:rsidRPr="0005752C" w:rsidRDefault="0005752C" w:rsidP="0005752C">
      <w:pPr>
        <w:rPr>
          <w:b/>
          <w:bCs/>
        </w:rPr>
      </w:pPr>
      <w:r w:rsidRPr="0005752C">
        <w:rPr>
          <w:b/>
          <w:bCs/>
        </w:rPr>
        <w:t>世界のリキッドバイオプシー市場規模は2023年に76億米ドルと評価され、2024年の87億5000万米ドルから2032年までに269億5000万米ドルに成長する準備ができており、予測期間(2025年から2032年)の間に15.1%のCAGRで成長します。</w:t>
      </w:r>
    </w:p>
    <w:p w14:paraId="0A7FA7F3" w14:textId="319015C0" w:rsidR="0005752C" w:rsidRPr="0005752C" w:rsidRDefault="0005752C" w:rsidP="0005752C">
      <w:r w:rsidRPr="0005752C">
        <w:t xml:space="preserve">今すぐ無料サンプルレポートを入手してください: </w:t>
      </w:r>
      <w:hyperlink r:id="rId5" w:history="1">
        <w:r w:rsidRPr="00903942">
          <w:rPr>
            <w:rStyle w:val="Hyperlink"/>
          </w:rPr>
          <w:t>https://www.skyquestt.com/sample-request/liquid-biopsy-market</w:t>
        </w:r>
      </w:hyperlink>
      <w:r>
        <w:t xml:space="preserve"> </w:t>
      </w:r>
    </w:p>
    <w:p w14:paraId="3996CBED" w14:textId="77777777" w:rsidR="0005752C" w:rsidRPr="0005752C" w:rsidRDefault="0005752C" w:rsidP="0005752C">
      <w:r w:rsidRPr="0005752C">
        <w:rPr>
          <w:b/>
          <w:bCs/>
        </w:rPr>
        <w:t>市場概況</w:t>
      </w:r>
    </w:p>
    <w:p w14:paraId="691A18D0" w14:textId="3EF51E4E" w:rsidR="0005752C" w:rsidRPr="0005752C" w:rsidRDefault="0005752C" w:rsidP="0005752C">
      <w:r w:rsidRPr="0005752C">
        <w:t xml:space="preserve">世界のリキッドバイオプシー市場は大幅な成長を遂げています。SkyQuest Technologyによると、市場は2023年に103億2000万米ドルと評価され、2032年までに268億5000万米ドルに達すると予測されており、2025年から2032年までの予測期間中に11.21%の年平均成長率(CAGR)で成長します。 </w:t>
      </w:r>
    </w:p>
    <w:p w14:paraId="2936DBF9" w14:textId="77777777" w:rsidR="0005752C" w:rsidRPr="0005752C" w:rsidRDefault="0005752C" w:rsidP="0005752C">
      <w:r w:rsidRPr="0005752C">
        <w:rPr>
          <w:b/>
          <w:bCs/>
        </w:rPr>
        <w:t>市場成長の主な推進力</w:t>
      </w:r>
    </w:p>
    <w:p w14:paraId="38A1B553" w14:textId="77777777" w:rsidR="0005752C" w:rsidRPr="0005752C" w:rsidRDefault="0005752C" w:rsidP="0005752C">
      <w:r w:rsidRPr="0005752C">
        <w:t>リキッドバイオプシー市場の拡大を後押ししている要因はいくつかあります。</w:t>
      </w:r>
    </w:p>
    <w:p w14:paraId="2EB61123" w14:textId="77374D25" w:rsidR="0005752C" w:rsidRPr="0005752C" w:rsidRDefault="0005752C" w:rsidP="0005752C">
      <w:pPr>
        <w:numPr>
          <w:ilvl w:val="0"/>
          <w:numId w:val="1"/>
        </w:numPr>
      </w:pPr>
      <w:r w:rsidRPr="0005752C">
        <w:rPr>
          <w:b/>
          <w:bCs/>
        </w:rPr>
        <w:t>がん罹患率の上昇</w:t>
      </w:r>
      <w:r w:rsidRPr="0005752C">
        <w:t>:がんの世界的な有病率の増加により、効率的で早期の診断ツールの需要が高まっています。リキッドバイオプシーは、早期発見とモニタリングのための有望なソリューションを提供します。</w:t>
      </w:r>
    </w:p>
    <w:p w14:paraId="19BC3958" w14:textId="1F976A7F" w:rsidR="0005752C" w:rsidRPr="0005752C" w:rsidRDefault="0005752C" w:rsidP="0005752C">
      <w:pPr>
        <w:numPr>
          <w:ilvl w:val="0"/>
          <w:numId w:val="1"/>
        </w:numPr>
      </w:pPr>
      <w:r w:rsidRPr="0005752C">
        <w:rPr>
          <w:b/>
          <w:bCs/>
        </w:rPr>
        <w:t>技術の進歩</w:t>
      </w:r>
      <w:r w:rsidRPr="0005752C">
        <w:t>:次世代シーケンシング(NGS)とポリメラーゼ連鎖反応(PCR)の革新により、リキッドバイオプシーの感度と特異性が向上し、臨床使用の信頼性が向上しました。</w:t>
      </w:r>
    </w:p>
    <w:p w14:paraId="64F09F56" w14:textId="0EDD4CE7" w:rsidR="0005752C" w:rsidRPr="0005752C" w:rsidRDefault="0005752C" w:rsidP="0005752C">
      <w:pPr>
        <w:numPr>
          <w:ilvl w:val="0"/>
          <w:numId w:val="1"/>
        </w:numPr>
      </w:pPr>
      <w:r w:rsidRPr="0005752C">
        <w:rPr>
          <w:b/>
          <w:bCs/>
        </w:rPr>
        <w:t>個別化医療への移行</w:t>
      </w:r>
      <w:r w:rsidRPr="0005752C">
        <w:t>:オーダーメイドの治療戦略にますます重点が置かれています。リキッドバイオプシーは、腫瘍の遺伝学と治療反応に関するリアルタイムの洞察を提供することにより、個別化治療を促進します。</w:t>
      </w:r>
    </w:p>
    <w:p w14:paraId="4EEB3F44" w14:textId="65C87BEF" w:rsidR="0005752C" w:rsidRPr="0005752C" w:rsidRDefault="0005752C" w:rsidP="0005752C">
      <w:r w:rsidRPr="0005752C">
        <w:t>カスタマイズされたレポートについては、パーソナライゼーションをリクエストするためにお問い合</w:t>
      </w:r>
      <w:proofErr w:type="gramStart"/>
      <w:r w:rsidRPr="0005752C">
        <w:t>わせください:https://www.skyquestt.com/sample-request/liquid-biopsy-market</w:t>
      </w:r>
      <w:proofErr w:type="gramEnd"/>
      <w:r w:rsidRPr="0005752C">
        <w:t xml:space="preserve"> </w:t>
      </w:r>
      <w:hyperlink r:id="rId6" w:history="1"/>
      <w:r w:rsidRPr="0005752C">
        <w:t xml:space="preserve"> </w:t>
      </w:r>
    </w:p>
    <w:p w14:paraId="7E1D932F" w14:textId="31E590A8" w:rsidR="0005752C" w:rsidRPr="0005752C" w:rsidRDefault="0005752C" w:rsidP="0005752C">
      <w:r w:rsidRPr="0005752C">
        <w:rPr>
          <w:b/>
          <w:bCs/>
        </w:rPr>
        <w:t>市場セグメンテーション</w:t>
      </w:r>
    </w:p>
    <w:p w14:paraId="4FA47652" w14:textId="77777777" w:rsidR="0005752C" w:rsidRPr="0005752C" w:rsidRDefault="0005752C" w:rsidP="0005752C">
      <w:r w:rsidRPr="0005752C">
        <w:lastRenderedPageBreak/>
        <w:t>リキッドバイオプシー市場は、製品とサービス、循環バイオマーカー、臨床アプリケーション、技術、アプリケーション、サンプルタイプ、およびエンドユーザーに基づいてセグメント化できます。</w:t>
      </w:r>
    </w:p>
    <w:p w14:paraId="735C188E" w14:textId="77777777" w:rsidR="0005752C" w:rsidRPr="0005752C" w:rsidRDefault="0005752C" w:rsidP="0005752C">
      <w:pPr>
        <w:numPr>
          <w:ilvl w:val="0"/>
          <w:numId w:val="2"/>
        </w:numPr>
      </w:pPr>
      <w:r w:rsidRPr="0005752C">
        <w:rPr>
          <w:b/>
          <w:bCs/>
        </w:rPr>
        <w:t>製品およびサービス別</w:t>
      </w:r>
      <w:r w:rsidRPr="0005752C">
        <w:t>:</w:t>
      </w:r>
    </w:p>
    <w:p w14:paraId="2F26E796" w14:textId="5ADBE753" w:rsidR="0005752C" w:rsidRPr="0005752C" w:rsidRDefault="0005752C" w:rsidP="0005752C">
      <w:pPr>
        <w:numPr>
          <w:ilvl w:val="1"/>
          <w:numId w:val="2"/>
        </w:numPr>
      </w:pPr>
      <w:r w:rsidRPr="0005752C">
        <w:rPr>
          <w:i/>
          <w:iCs/>
        </w:rPr>
        <w:t>アッセイキット</w:t>
      </w:r>
      <w:r w:rsidRPr="0005752C">
        <w:t>:これらはリキッドバイオプシー検査の実施に不可欠なコンポーネントであり、研究や臨床診断で広く使用されています。</w:t>
      </w:r>
    </w:p>
    <w:p w14:paraId="028F43D5" w14:textId="414637D7" w:rsidR="0005752C" w:rsidRPr="0005752C" w:rsidRDefault="0005752C" w:rsidP="0005752C">
      <w:pPr>
        <w:numPr>
          <w:ilvl w:val="1"/>
          <w:numId w:val="2"/>
        </w:numPr>
      </w:pPr>
      <w:r w:rsidRPr="0005752C">
        <w:rPr>
          <w:i/>
          <w:iCs/>
        </w:rPr>
        <w:t>機器</w:t>
      </w:r>
      <w:r w:rsidRPr="0005752C">
        <w:t>:液体サンプル中のバイオマーカーを分析するために使用されるデバイス。</w:t>
      </w:r>
    </w:p>
    <w:p w14:paraId="4D29E9CA" w14:textId="3DD90108" w:rsidR="0005752C" w:rsidRPr="0005752C" w:rsidRDefault="0005752C" w:rsidP="0005752C">
      <w:pPr>
        <w:numPr>
          <w:ilvl w:val="1"/>
          <w:numId w:val="2"/>
        </w:numPr>
      </w:pPr>
      <w:r w:rsidRPr="0005752C">
        <w:rPr>
          <w:i/>
          <w:iCs/>
        </w:rPr>
        <w:t>サービス</w:t>
      </w:r>
      <w:r w:rsidRPr="0005752C">
        <w:t>:リキッドバイオプシー検査に関連するさまざまなサポートおよび分析サービスが含まれます。</w:t>
      </w:r>
    </w:p>
    <w:p w14:paraId="5BFAD90E" w14:textId="77777777" w:rsidR="0005752C" w:rsidRPr="0005752C" w:rsidRDefault="0005752C" w:rsidP="0005752C">
      <w:pPr>
        <w:numPr>
          <w:ilvl w:val="0"/>
          <w:numId w:val="2"/>
        </w:numPr>
      </w:pPr>
      <w:r w:rsidRPr="0005752C">
        <w:rPr>
          <w:b/>
          <w:bCs/>
        </w:rPr>
        <w:t>循環バイオマーカーにより</w:t>
      </w:r>
      <w:r w:rsidRPr="0005752C">
        <w:t>:</w:t>
      </w:r>
    </w:p>
    <w:p w14:paraId="4165C36E" w14:textId="49096626" w:rsidR="0005752C" w:rsidRPr="0005752C" w:rsidRDefault="0005752C" w:rsidP="0005752C">
      <w:pPr>
        <w:numPr>
          <w:ilvl w:val="1"/>
          <w:numId w:val="2"/>
        </w:numPr>
      </w:pPr>
      <w:r w:rsidRPr="0005752C">
        <w:rPr>
          <w:i/>
          <w:iCs/>
        </w:rPr>
        <w:t>循環腫瘍細胞(CTC):</w:t>
      </w:r>
      <w:r w:rsidRPr="0005752C">
        <w:t>原発腫瘍から血流に排出された細胞。</w:t>
      </w:r>
    </w:p>
    <w:p w14:paraId="78072887" w14:textId="08A09C45" w:rsidR="0005752C" w:rsidRPr="0005752C" w:rsidRDefault="0005752C" w:rsidP="0005752C">
      <w:pPr>
        <w:numPr>
          <w:ilvl w:val="1"/>
          <w:numId w:val="2"/>
        </w:numPr>
      </w:pPr>
      <w:r w:rsidRPr="0005752C">
        <w:rPr>
          <w:i/>
          <w:iCs/>
        </w:rPr>
        <w:t>循環腫瘍DNA(ctDNA):</w:t>
      </w:r>
      <w:r w:rsidRPr="0005752C">
        <w:t>腫瘍によって血液中に放出されるDNAの断片で、遺伝子変異の検出に役立ちます。</w:t>
      </w:r>
    </w:p>
    <w:p w14:paraId="45AAAD84" w14:textId="1497BC17" w:rsidR="0005752C" w:rsidRPr="0005752C" w:rsidRDefault="0005752C" w:rsidP="0005752C">
      <w:pPr>
        <w:numPr>
          <w:ilvl w:val="1"/>
          <w:numId w:val="2"/>
        </w:numPr>
      </w:pPr>
      <w:r w:rsidRPr="0005752C">
        <w:rPr>
          <w:i/>
          <w:iCs/>
        </w:rPr>
        <w:t>細胞外小胞</w:t>
      </w:r>
      <w:r w:rsidRPr="0005752C">
        <w:t>:細胞から放出される小さな小胞で、タンパク質と遺伝物質が含まれています。</w:t>
      </w:r>
    </w:p>
    <w:p w14:paraId="3FCF7F23" w14:textId="77777777" w:rsidR="0005752C" w:rsidRPr="0005752C" w:rsidRDefault="0005752C" w:rsidP="0005752C">
      <w:pPr>
        <w:numPr>
          <w:ilvl w:val="0"/>
          <w:numId w:val="2"/>
        </w:numPr>
      </w:pPr>
      <w:r w:rsidRPr="0005752C">
        <w:rPr>
          <w:b/>
          <w:bCs/>
        </w:rPr>
        <w:t>臨床応用別</w:t>
      </w:r>
      <w:r w:rsidRPr="0005752C">
        <w:t>:</w:t>
      </w:r>
    </w:p>
    <w:p w14:paraId="164D47EB" w14:textId="1C177A9A" w:rsidR="0005752C" w:rsidRPr="0005752C" w:rsidRDefault="0005752C" w:rsidP="0005752C">
      <w:pPr>
        <w:numPr>
          <w:ilvl w:val="1"/>
          <w:numId w:val="2"/>
        </w:numPr>
      </w:pPr>
      <w:r w:rsidRPr="0005752C">
        <w:rPr>
          <w:i/>
          <w:iCs/>
        </w:rPr>
        <w:t>がんの早期スクリーニング</w:t>
      </w:r>
      <w:r w:rsidRPr="0005752C">
        <w:t>:リキッドバイオプシーを活用してがんを早期に発見します。</w:t>
      </w:r>
    </w:p>
    <w:p w14:paraId="2DCCD2EC" w14:textId="4BC71AEB" w:rsidR="0005752C" w:rsidRPr="0005752C" w:rsidRDefault="0005752C" w:rsidP="0005752C">
      <w:pPr>
        <w:numPr>
          <w:ilvl w:val="1"/>
          <w:numId w:val="2"/>
        </w:numPr>
      </w:pPr>
      <w:r w:rsidRPr="0005752C">
        <w:rPr>
          <w:i/>
          <w:iCs/>
        </w:rPr>
        <w:t>治療法の選択</w:t>
      </w:r>
      <w:r w:rsidRPr="0005752C">
        <w:t>:腫瘍の遺伝学に基づいて最も効果的な治療法を選択するのを支援します。</w:t>
      </w:r>
    </w:p>
    <w:p w14:paraId="25C46554" w14:textId="30609352" w:rsidR="0005752C" w:rsidRPr="0005752C" w:rsidRDefault="0005752C" w:rsidP="0005752C">
      <w:pPr>
        <w:numPr>
          <w:ilvl w:val="1"/>
          <w:numId w:val="2"/>
        </w:numPr>
      </w:pPr>
      <w:r w:rsidRPr="0005752C">
        <w:rPr>
          <w:i/>
          <w:iCs/>
        </w:rPr>
        <w:t>治療モニタリング</w:t>
      </w:r>
      <w:r w:rsidRPr="0005752C">
        <w:t>:進行中の治療の有効性を追跡し、必要な調整を行います。</w:t>
      </w:r>
    </w:p>
    <w:p w14:paraId="7A7006D4" w14:textId="77777777" w:rsidR="0005752C" w:rsidRPr="0005752C" w:rsidRDefault="0005752C" w:rsidP="0005752C">
      <w:pPr>
        <w:numPr>
          <w:ilvl w:val="0"/>
          <w:numId w:val="2"/>
        </w:numPr>
      </w:pPr>
      <w:r w:rsidRPr="0005752C">
        <w:rPr>
          <w:b/>
          <w:bCs/>
        </w:rPr>
        <w:t>テクノロジー別</w:t>
      </w:r>
      <w:r w:rsidRPr="0005752C">
        <w:t>:</w:t>
      </w:r>
    </w:p>
    <w:p w14:paraId="36C2DF83" w14:textId="0400847D" w:rsidR="0005752C" w:rsidRPr="0005752C" w:rsidRDefault="0005752C" w:rsidP="0005752C">
      <w:pPr>
        <w:numPr>
          <w:ilvl w:val="1"/>
          <w:numId w:val="2"/>
        </w:numPr>
      </w:pPr>
      <w:r w:rsidRPr="0005752C">
        <w:rPr>
          <w:i/>
          <w:iCs/>
        </w:rPr>
        <w:t>次世代シーケンシング(NGS):</w:t>
      </w:r>
      <w:r w:rsidRPr="0005752C">
        <w:t>遺伝子変異の包括的な解析を可能にします。</w:t>
      </w:r>
    </w:p>
    <w:p w14:paraId="6D057F07" w14:textId="22E75EC4" w:rsidR="0005752C" w:rsidRPr="0005752C" w:rsidRDefault="0005752C" w:rsidP="0005752C">
      <w:pPr>
        <w:numPr>
          <w:ilvl w:val="1"/>
          <w:numId w:val="2"/>
        </w:numPr>
      </w:pPr>
      <w:r w:rsidRPr="0005752C">
        <w:rPr>
          <w:i/>
          <w:iCs/>
        </w:rPr>
        <w:t>ポリメラーゼ連鎖反応(PCR):</w:t>
      </w:r>
      <w:r w:rsidRPr="0005752C">
        <w:t>特定のDNA配列を増幅して検出する技術。</w:t>
      </w:r>
    </w:p>
    <w:p w14:paraId="06E7129A" w14:textId="77777777" w:rsidR="0005752C" w:rsidRPr="0005752C" w:rsidRDefault="0005752C" w:rsidP="0005752C">
      <w:pPr>
        <w:numPr>
          <w:ilvl w:val="0"/>
          <w:numId w:val="2"/>
        </w:numPr>
      </w:pPr>
      <w:r w:rsidRPr="0005752C">
        <w:rPr>
          <w:b/>
          <w:bCs/>
        </w:rPr>
        <w:t>サンプルタイプ別</w:t>
      </w:r>
      <w:r w:rsidRPr="0005752C">
        <w:t>:</w:t>
      </w:r>
    </w:p>
    <w:p w14:paraId="69C15684" w14:textId="212B5740" w:rsidR="0005752C" w:rsidRPr="0005752C" w:rsidRDefault="0005752C" w:rsidP="0005752C">
      <w:pPr>
        <w:numPr>
          <w:ilvl w:val="1"/>
          <w:numId w:val="2"/>
        </w:numPr>
      </w:pPr>
      <w:r w:rsidRPr="0005752C">
        <w:rPr>
          <w:i/>
          <w:iCs/>
        </w:rPr>
        <w:t>血液</w:t>
      </w:r>
      <w:r w:rsidRPr="0005752C">
        <w:t>:リキッドバイオプシー検査で最も一般的なサンプルタイプです。</w:t>
      </w:r>
    </w:p>
    <w:p w14:paraId="3920E51D" w14:textId="16BF081F" w:rsidR="0005752C" w:rsidRPr="0005752C" w:rsidRDefault="0005752C" w:rsidP="0005752C">
      <w:pPr>
        <w:numPr>
          <w:ilvl w:val="1"/>
          <w:numId w:val="2"/>
        </w:numPr>
      </w:pPr>
      <w:r w:rsidRPr="0005752C">
        <w:rPr>
          <w:i/>
          <w:iCs/>
        </w:rPr>
        <w:lastRenderedPageBreak/>
        <w:t>尿</w:t>
      </w:r>
      <w:r w:rsidRPr="0005752C">
        <w:t>:膀胱がんの検出など、特定の場合に使用されます。</w:t>
      </w:r>
    </w:p>
    <w:p w14:paraId="3E02573C" w14:textId="77777777" w:rsidR="0005752C" w:rsidRPr="0005752C" w:rsidRDefault="0005752C" w:rsidP="0005752C">
      <w:pPr>
        <w:numPr>
          <w:ilvl w:val="0"/>
          <w:numId w:val="2"/>
        </w:numPr>
      </w:pPr>
      <w:r w:rsidRPr="0005752C">
        <w:rPr>
          <w:b/>
          <w:bCs/>
        </w:rPr>
        <w:t>エンドユーザー別</w:t>
      </w:r>
      <w:r w:rsidRPr="0005752C">
        <w:t>:</w:t>
      </w:r>
    </w:p>
    <w:p w14:paraId="7AD9807F" w14:textId="39A746E2" w:rsidR="0005752C" w:rsidRPr="0005752C" w:rsidRDefault="0005752C" w:rsidP="0005752C">
      <w:pPr>
        <w:numPr>
          <w:ilvl w:val="1"/>
          <w:numId w:val="2"/>
        </w:numPr>
      </w:pPr>
      <w:r w:rsidRPr="0005752C">
        <w:rPr>
          <w:i/>
          <w:iCs/>
        </w:rPr>
        <w:t>病院</w:t>
      </w:r>
      <w:r w:rsidRPr="0005752C">
        <w:t>:がんの診断と治療の主要なセンター。</w:t>
      </w:r>
    </w:p>
    <w:p w14:paraId="052370F7" w14:textId="615719BA" w:rsidR="0005752C" w:rsidRPr="0005752C" w:rsidRDefault="0005752C" w:rsidP="0005752C">
      <w:pPr>
        <w:numPr>
          <w:ilvl w:val="1"/>
          <w:numId w:val="2"/>
        </w:numPr>
      </w:pPr>
      <w:r w:rsidRPr="0005752C">
        <w:rPr>
          <w:i/>
          <w:iCs/>
        </w:rPr>
        <w:t>診断検査室</w:t>
      </w:r>
      <w:r w:rsidRPr="0005752C">
        <w:t>:各種診断検査を行う専門施設。</w:t>
      </w:r>
    </w:p>
    <w:p w14:paraId="3BB16BB4" w14:textId="6582D54D" w:rsidR="0005752C" w:rsidRPr="0005752C" w:rsidRDefault="0005752C" w:rsidP="0005752C">
      <w:pPr>
        <w:numPr>
          <w:ilvl w:val="1"/>
          <w:numId w:val="2"/>
        </w:numPr>
      </w:pPr>
      <w:r w:rsidRPr="0005752C">
        <w:rPr>
          <w:i/>
          <w:iCs/>
        </w:rPr>
        <w:t>Research Centers</w:t>
      </w:r>
      <w:r w:rsidRPr="0005752C">
        <w:t>: リキッドバイオプシー技術の進歩に注力している機関。</w:t>
      </w:r>
    </w:p>
    <w:p w14:paraId="207DA62B" w14:textId="77777777" w:rsidR="0005752C" w:rsidRPr="0005752C" w:rsidRDefault="0005752C" w:rsidP="0005752C">
      <w:r w:rsidRPr="0005752C">
        <w:rPr>
          <w:b/>
          <w:bCs/>
        </w:rPr>
        <w:t>地域インサイト</w:t>
      </w:r>
    </w:p>
    <w:p w14:paraId="0F5C87EE" w14:textId="673DD7EB" w:rsidR="0005752C" w:rsidRPr="0005752C" w:rsidRDefault="0005752C" w:rsidP="0005752C">
      <w:r w:rsidRPr="0005752C">
        <w:t>北米は、高度な医療インフラ、革新的な診断技術の高い採用率、研究開発への多額の投資に牽引され、リキッドバイオプシー市場で大きなシェアを占めています。アジア太平洋地域も、がんの有病率の増加、医療施設の改善、がんの早期発見方法に関する意識の高まりにより、急速な成長を遂げています。</w:t>
      </w:r>
    </w:p>
    <w:p w14:paraId="5C6E0F7A" w14:textId="77777777" w:rsidR="0005752C" w:rsidRPr="0005752C" w:rsidRDefault="0005752C" w:rsidP="0005752C">
      <w:pPr>
        <w:rPr>
          <w:b/>
          <w:bCs/>
        </w:rPr>
      </w:pPr>
      <w:r w:rsidRPr="0005752C">
        <w:rPr>
          <w:b/>
          <w:bCs/>
        </w:rPr>
        <w:t>リキッドバイオプシー市場のトッププレーヤー</w:t>
      </w:r>
    </w:p>
    <w:p w14:paraId="0554A067" w14:textId="77777777" w:rsidR="0005752C" w:rsidRPr="0005752C" w:rsidRDefault="0005752C" w:rsidP="0005752C">
      <w:pPr>
        <w:pStyle w:val="ListParagraph"/>
        <w:numPr>
          <w:ilvl w:val="0"/>
          <w:numId w:val="3"/>
        </w:numPr>
        <w:rPr>
          <w:b/>
          <w:bCs/>
        </w:rPr>
      </w:pPr>
      <w:r w:rsidRPr="0005752C">
        <w:rPr>
          <w:b/>
          <w:bCs/>
        </w:rPr>
        <w:t xml:space="preserve">F. Hoffmann-La Roche Ltd (スイス) </w:t>
      </w:r>
    </w:p>
    <w:p w14:paraId="1A9A442C" w14:textId="77777777" w:rsidR="0005752C" w:rsidRPr="0005752C" w:rsidRDefault="0005752C" w:rsidP="0005752C">
      <w:pPr>
        <w:pStyle w:val="ListParagraph"/>
        <w:numPr>
          <w:ilvl w:val="0"/>
          <w:numId w:val="3"/>
        </w:numPr>
        <w:rPr>
          <w:b/>
          <w:bCs/>
        </w:rPr>
      </w:pPr>
      <w:proofErr w:type="spellStart"/>
      <w:r w:rsidRPr="0005752C">
        <w:rPr>
          <w:b/>
          <w:bCs/>
        </w:rPr>
        <w:t>サーモフィッシャーサイエンティフィック社</w:t>
      </w:r>
      <w:proofErr w:type="spellEnd"/>
      <w:r w:rsidRPr="0005752C">
        <w:rPr>
          <w:b/>
          <w:bCs/>
        </w:rPr>
        <w:t>(</w:t>
      </w:r>
      <w:proofErr w:type="spellStart"/>
      <w:r w:rsidRPr="0005752C">
        <w:rPr>
          <w:b/>
          <w:bCs/>
        </w:rPr>
        <w:t>米国</w:t>
      </w:r>
      <w:proofErr w:type="spellEnd"/>
      <w:r w:rsidRPr="0005752C">
        <w:rPr>
          <w:b/>
          <w:bCs/>
        </w:rPr>
        <w:t xml:space="preserve">) </w:t>
      </w:r>
    </w:p>
    <w:p w14:paraId="2B35FAAB" w14:textId="77777777" w:rsidR="0005752C" w:rsidRPr="0005752C" w:rsidRDefault="0005752C" w:rsidP="0005752C">
      <w:pPr>
        <w:pStyle w:val="ListParagraph"/>
        <w:numPr>
          <w:ilvl w:val="0"/>
          <w:numId w:val="3"/>
        </w:numPr>
        <w:rPr>
          <w:b/>
          <w:bCs/>
        </w:rPr>
      </w:pPr>
      <w:r w:rsidRPr="0005752C">
        <w:rPr>
          <w:b/>
          <w:bCs/>
        </w:rPr>
        <w:t xml:space="preserve">Illumina, Inc.(米国) </w:t>
      </w:r>
    </w:p>
    <w:p w14:paraId="50DE2BD1" w14:textId="77777777" w:rsidR="0005752C" w:rsidRPr="0005752C" w:rsidRDefault="0005752C" w:rsidP="0005752C">
      <w:pPr>
        <w:pStyle w:val="ListParagraph"/>
        <w:numPr>
          <w:ilvl w:val="0"/>
          <w:numId w:val="3"/>
        </w:numPr>
        <w:rPr>
          <w:b/>
          <w:bCs/>
        </w:rPr>
      </w:pPr>
      <w:r w:rsidRPr="0005752C">
        <w:rPr>
          <w:b/>
          <w:bCs/>
        </w:rPr>
        <w:t xml:space="preserve">Guardant Health, Inc.(米国) </w:t>
      </w:r>
    </w:p>
    <w:p w14:paraId="7643C584" w14:textId="77777777" w:rsidR="0005752C" w:rsidRPr="0005752C" w:rsidRDefault="0005752C" w:rsidP="0005752C">
      <w:pPr>
        <w:pStyle w:val="ListParagraph"/>
        <w:numPr>
          <w:ilvl w:val="0"/>
          <w:numId w:val="3"/>
        </w:numPr>
        <w:rPr>
          <w:b/>
          <w:bCs/>
        </w:rPr>
      </w:pPr>
      <w:r w:rsidRPr="0005752C">
        <w:rPr>
          <w:b/>
          <w:bCs/>
        </w:rPr>
        <w:t xml:space="preserve">Biocept, Inc.(米国) </w:t>
      </w:r>
    </w:p>
    <w:p w14:paraId="20FD5BEE" w14:textId="77777777" w:rsidR="0005752C" w:rsidRPr="0005752C" w:rsidRDefault="0005752C" w:rsidP="0005752C">
      <w:pPr>
        <w:pStyle w:val="ListParagraph"/>
        <w:numPr>
          <w:ilvl w:val="0"/>
          <w:numId w:val="3"/>
        </w:numPr>
        <w:rPr>
          <w:b/>
          <w:bCs/>
        </w:rPr>
      </w:pPr>
      <w:r w:rsidRPr="0005752C">
        <w:rPr>
          <w:b/>
          <w:bCs/>
        </w:rPr>
        <w:t xml:space="preserve">シスメックス株式会社(日本) </w:t>
      </w:r>
    </w:p>
    <w:p w14:paraId="32BC806B" w14:textId="77777777" w:rsidR="0005752C" w:rsidRPr="0005752C" w:rsidRDefault="0005752C" w:rsidP="0005752C">
      <w:pPr>
        <w:pStyle w:val="ListParagraph"/>
        <w:numPr>
          <w:ilvl w:val="0"/>
          <w:numId w:val="3"/>
        </w:numPr>
        <w:rPr>
          <w:b/>
          <w:bCs/>
        </w:rPr>
      </w:pPr>
      <w:r w:rsidRPr="0005752C">
        <w:rPr>
          <w:b/>
          <w:bCs/>
        </w:rPr>
        <w:t xml:space="preserve">Natera, Inc.(米国) </w:t>
      </w:r>
    </w:p>
    <w:p w14:paraId="0497633D" w14:textId="77777777" w:rsidR="0005752C" w:rsidRPr="0005752C" w:rsidRDefault="0005752C" w:rsidP="0005752C">
      <w:pPr>
        <w:pStyle w:val="ListParagraph"/>
        <w:numPr>
          <w:ilvl w:val="0"/>
          <w:numId w:val="3"/>
        </w:numPr>
        <w:rPr>
          <w:b/>
          <w:bCs/>
        </w:rPr>
      </w:pPr>
      <w:proofErr w:type="spellStart"/>
      <w:r w:rsidRPr="0005752C">
        <w:rPr>
          <w:b/>
          <w:bCs/>
        </w:rPr>
        <w:t>Biocartis</w:t>
      </w:r>
      <w:proofErr w:type="spellEnd"/>
      <w:r w:rsidRPr="0005752C">
        <w:rPr>
          <w:b/>
          <w:bCs/>
        </w:rPr>
        <w:t xml:space="preserve"> Group NV(</w:t>
      </w:r>
      <w:proofErr w:type="spellStart"/>
      <w:r w:rsidRPr="0005752C">
        <w:rPr>
          <w:b/>
          <w:bCs/>
        </w:rPr>
        <w:t>ベルギ</w:t>
      </w:r>
      <w:proofErr w:type="spellEnd"/>
      <w:r w:rsidRPr="0005752C">
        <w:rPr>
          <w:b/>
          <w:bCs/>
        </w:rPr>
        <w:t xml:space="preserve">ー) </w:t>
      </w:r>
    </w:p>
    <w:p w14:paraId="3EC6D0E2" w14:textId="77777777" w:rsidR="0005752C" w:rsidRPr="0005752C" w:rsidRDefault="0005752C" w:rsidP="0005752C">
      <w:pPr>
        <w:pStyle w:val="ListParagraph"/>
        <w:numPr>
          <w:ilvl w:val="0"/>
          <w:numId w:val="3"/>
        </w:numPr>
        <w:rPr>
          <w:b/>
          <w:bCs/>
        </w:rPr>
      </w:pPr>
      <w:r w:rsidRPr="0005752C">
        <w:rPr>
          <w:b/>
          <w:bCs/>
        </w:rPr>
        <w:t xml:space="preserve">バイオ・ラッド・ラボラトリーズ社 (米国) </w:t>
      </w:r>
    </w:p>
    <w:p w14:paraId="6C485101" w14:textId="77777777" w:rsidR="0005752C" w:rsidRPr="0005752C" w:rsidRDefault="0005752C" w:rsidP="0005752C">
      <w:pPr>
        <w:pStyle w:val="ListParagraph"/>
        <w:numPr>
          <w:ilvl w:val="0"/>
          <w:numId w:val="3"/>
        </w:numPr>
        <w:rPr>
          <w:b/>
          <w:bCs/>
        </w:rPr>
      </w:pPr>
      <w:proofErr w:type="spellStart"/>
      <w:r w:rsidRPr="0005752C">
        <w:rPr>
          <w:b/>
          <w:bCs/>
        </w:rPr>
        <w:t>OncoCyte</w:t>
      </w:r>
      <w:proofErr w:type="spellEnd"/>
      <w:r w:rsidRPr="0005752C">
        <w:rPr>
          <w:b/>
          <w:bCs/>
        </w:rPr>
        <w:t xml:space="preserve"> Corporation (</w:t>
      </w:r>
      <w:proofErr w:type="spellStart"/>
      <w:r w:rsidRPr="0005752C">
        <w:rPr>
          <w:b/>
          <w:bCs/>
        </w:rPr>
        <w:t>米国</w:t>
      </w:r>
      <w:proofErr w:type="spellEnd"/>
      <w:r w:rsidRPr="0005752C">
        <w:rPr>
          <w:b/>
          <w:bCs/>
        </w:rPr>
        <w:t xml:space="preserve">) </w:t>
      </w:r>
    </w:p>
    <w:p w14:paraId="2D588A93" w14:textId="77777777" w:rsidR="0005752C" w:rsidRPr="0005752C" w:rsidRDefault="0005752C" w:rsidP="0005752C">
      <w:pPr>
        <w:pStyle w:val="ListParagraph"/>
        <w:numPr>
          <w:ilvl w:val="0"/>
          <w:numId w:val="3"/>
        </w:numPr>
        <w:rPr>
          <w:b/>
          <w:bCs/>
        </w:rPr>
      </w:pPr>
      <w:r w:rsidRPr="0005752C">
        <w:rPr>
          <w:b/>
          <w:bCs/>
        </w:rPr>
        <w:t xml:space="preserve">アダプティブ・バイオテクノロジーズ・コーポレーション(米国) </w:t>
      </w:r>
    </w:p>
    <w:p w14:paraId="38C902F1" w14:textId="77777777" w:rsidR="0005752C" w:rsidRPr="0005752C" w:rsidRDefault="0005752C" w:rsidP="0005752C">
      <w:pPr>
        <w:pStyle w:val="ListParagraph"/>
        <w:numPr>
          <w:ilvl w:val="0"/>
          <w:numId w:val="3"/>
        </w:numPr>
        <w:rPr>
          <w:b/>
          <w:bCs/>
        </w:rPr>
      </w:pPr>
      <w:r w:rsidRPr="0005752C">
        <w:rPr>
          <w:b/>
          <w:bCs/>
        </w:rPr>
        <w:t xml:space="preserve">Angle PLC(イギリス) </w:t>
      </w:r>
    </w:p>
    <w:p w14:paraId="1282B3B7" w14:textId="77777777" w:rsidR="0005752C" w:rsidRPr="0005752C" w:rsidRDefault="0005752C" w:rsidP="0005752C">
      <w:pPr>
        <w:pStyle w:val="ListParagraph"/>
        <w:numPr>
          <w:ilvl w:val="0"/>
          <w:numId w:val="3"/>
        </w:numPr>
        <w:rPr>
          <w:b/>
          <w:bCs/>
        </w:rPr>
      </w:pPr>
      <w:r w:rsidRPr="0005752C">
        <w:rPr>
          <w:b/>
          <w:bCs/>
        </w:rPr>
        <w:t xml:space="preserve">Epic Sciences, Inc.(米国) </w:t>
      </w:r>
    </w:p>
    <w:p w14:paraId="3B3536FE" w14:textId="77777777" w:rsidR="0005752C" w:rsidRPr="0005752C" w:rsidRDefault="0005752C" w:rsidP="0005752C">
      <w:pPr>
        <w:pStyle w:val="ListParagraph"/>
        <w:numPr>
          <w:ilvl w:val="0"/>
          <w:numId w:val="3"/>
        </w:numPr>
        <w:rPr>
          <w:b/>
          <w:bCs/>
        </w:rPr>
      </w:pPr>
      <w:proofErr w:type="spellStart"/>
      <w:r w:rsidRPr="0005752C">
        <w:rPr>
          <w:b/>
          <w:bCs/>
        </w:rPr>
        <w:t>ネオゲノミクス研究所</w:t>
      </w:r>
      <w:proofErr w:type="spellEnd"/>
      <w:r w:rsidRPr="0005752C">
        <w:rPr>
          <w:b/>
          <w:bCs/>
        </w:rPr>
        <w:t>(</w:t>
      </w:r>
      <w:proofErr w:type="spellStart"/>
      <w:r w:rsidRPr="0005752C">
        <w:rPr>
          <w:b/>
          <w:bCs/>
        </w:rPr>
        <w:t>米国</w:t>
      </w:r>
      <w:proofErr w:type="spellEnd"/>
      <w:r w:rsidRPr="0005752C">
        <w:rPr>
          <w:b/>
          <w:bCs/>
        </w:rPr>
        <w:t xml:space="preserve">) </w:t>
      </w:r>
    </w:p>
    <w:p w14:paraId="038B7B01" w14:textId="77777777" w:rsidR="0005752C" w:rsidRPr="0005752C" w:rsidRDefault="0005752C" w:rsidP="0005752C">
      <w:pPr>
        <w:pStyle w:val="ListParagraph"/>
        <w:numPr>
          <w:ilvl w:val="0"/>
          <w:numId w:val="3"/>
        </w:numPr>
        <w:rPr>
          <w:b/>
          <w:bCs/>
        </w:rPr>
      </w:pPr>
      <w:proofErr w:type="spellStart"/>
      <w:r w:rsidRPr="0005752C">
        <w:rPr>
          <w:b/>
          <w:bCs/>
        </w:rPr>
        <w:t>CellMax</w:t>
      </w:r>
      <w:proofErr w:type="spellEnd"/>
      <w:r w:rsidRPr="0005752C">
        <w:rPr>
          <w:b/>
          <w:bCs/>
        </w:rPr>
        <w:t xml:space="preserve"> Life(</w:t>
      </w:r>
      <w:proofErr w:type="spellStart"/>
      <w:r w:rsidRPr="0005752C">
        <w:rPr>
          <w:b/>
          <w:bCs/>
        </w:rPr>
        <w:t>米国</w:t>
      </w:r>
      <w:proofErr w:type="spellEnd"/>
      <w:r w:rsidRPr="0005752C">
        <w:rPr>
          <w:b/>
          <w:bCs/>
        </w:rPr>
        <w:t xml:space="preserve">) </w:t>
      </w:r>
    </w:p>
    <w:p w14:paraId="18FA88D7" w14:textId="77777777" w:rsidR="0005752C" w:rsidRPr="0005752C" w:rsidRDefault="0005752C" w:rsidP="0005752C">
      <w:pPr>
        <w:pStyle w:val="ListParagraph"/>
        <w:numPr>
          <w:ilvl w:val="0"/>
          <w:numId w:val="3"/>
        </w:numPr>
        <w:rPr>
          <w:b/>
          <w:bCs/>
        </w:rPr>
      </w:pPr>
      <w:r w:rsidRPr="0005752C">
        <w:rPr>
          <w:b/>
          <w:bCs/>
        </w:rPr>
        <w:t xml:space="preserve">Menarini-Silicon Biosystems(イタリア) </w:t>
      </w:r>
    </w:p>
    <w:p w14:paraId="12CD1F31" w14:textId="5E6071C7" w:rsidR="0005752C" w:rsidRPr="0005752C" w:rsidRDefault="0005752C" w:rsidP="0005752C">
      <w:pPr>
        <w:pStyle w:val="ListParagraph"/>
        <w:numPr>
          <w:ilvl w:val="0"/>
          <w:numId w:val="3"/>
        </w:numPr>
        <w:rPr>
          <w:b/>
          <w:bCs/>
        </w:rPr>
      </w:pPr>
      <w:proofErr w:type="spellStart"/>
      <w:r w:rsidRPr="0005752C">
        <w:rPr>
          <w:b/>
          <w:bCs/>
        </w:rPr>
        <w:t>Lunglife</w:t>
      </w:r>
      <w:proofErr w:type="spellEnd"/>
      <w:r w:rsidRPr="0005752C">
        <w:rPr>
          <w:b/>
          <w:bCs/>
        </w:rPr>
        <w:t xml:space="preserve"> </w:t>
      </w:r>
      <w:proofErr w:type="spellStart"/>
      <w:r w:rsidRPr="0005752C">
        <w:rPr>
          <w:b/>
          <w:bCs/>
        </w:rPr>
        <w:t>AI株式会社</w:t>
      </w:r>
      <w:proofErr w:type="spellEnd"/>
      <w:r w:rsidRPr="0005752C">
        <w:rPr>
          <w:b/>
          <w:bCs/>
        </w:rPr>
        <w:t xml:space="preserve"> (</w:t>
      </w:r>
      <w:proofErr w:type="spellStart"/>
      <w:r w:rsidRPr="0005752C">
        <w:rPr>
          <w:b/>
          <w:bCs/>
        </w:rPr>
        <w:t>米国</w:t>
      </w:r>
      <w:proofErr w:type="spellEnd"/>
      <w:r w:rsidRPr="0005752C">
        <w:rPr>
          <w:b/>
          <w:bCs/>
        </w:rPr>
        <w:t>)</w:t>
      </w:r>
    </w:p>
    <w:p w14:paraId="7538A46F" w14:textId="6879BC48" w:rsidR="0005752C" w:rsidRPr="0005752C" w:rsidRDefault="0005752C" w:rsidP="0005752C">
      <w:r w:rsidRPr="0005752C">
        <w:t xml:space="preserve">今すぐ購入して、貴重な洞察を最新の状態に保ちます: </w:t>
      </w:r>
      <w:hyperlink r:id="rId7" w:history="1">
        <w:r w:rsidRPr="0005752C">
          <w:rPr>
            <w:rStyle w:val="Hyperlink"/>
          </w:rPr>
          <w:t>https://www.skyquestt.com/buy-now/liquid-biopsy-market</w:t>
        </w:r>
      </w:hyperlink>
      <w:r w:rsidRPr="0005752C">
        <w:t xml:space="preserve"> </w:t>
      </w:r>
    </w:p>
    <w:p w14:paraId="6BD773CD" w14:textId="672E45CD" w:rsidR="0005752C" w:rsidRPr="0005752C" w:rsidRDefault="0005752C" w:rsidP="0005752C">
      <w:r w:rsidRPr="0005752C">
        <w:rPr>
          <w:b/>
          <w:bCs/>
        </w:rPr>
        <w:t>課題と機会</w:t>
      </w:r>
    </w:p>
    <w:p w14:paraId="43825E1B" w14:textId="4A913042" w:rsidR="0005752C" w:rsidRPr="0005752C" w:rsidRDefault="0005752C" w:rsidP="0005752C">
      <w:r w:rsidRPr="0005752C">
        <w:lastRenderedPageBreak/>
        <w:t>リキッドバイオプシー市場は大きな期待を寄せていますが、標準化の必要性、検査結果の検証、高度な技術に関連する高コストなどの課題は依然として残っています。しかし、継続的な研究開発とバイオテクノロジー企業と医療機関の協力関係により、これらの課題を克服し、リキッドバイオプシー検査の採用をさらに強化する機会が得られます。</w:t>
      </w:r>
    </w:p>
    <w:p w14:paraId="7B611B87" w14:textId="77777777" w:rsidR="0005752C" w:rsidRPr="0005752C" w:rsidRDefault="0005752C" w:rsidP="0005752C">
      <w:r w:rsidRPr="0005752C">
        <w:rPr>
          <w:b/>
          <w:bCs/>
        </w:rPr>
        <w:t>今後の見通し</w:t>
      </w:r>
    </w:p>
    <w:p w14:paraId="576A158F" w14:textId="3C488EB9" w:rsidR="0005752C" w:rsidRDefault="0005752C" w:rsidP="0005752C">
      <w:r w:rsidRPr="0005752C">
        <w:t>リキッドバイオプシー市場の未来は、技術の継続的な進歩と個別化医療への注目の高まりにより、有望に見えます。研究が進み、より多くの臨床検証が達成されるにつれて、リキッドバイオプシーはがんの診断と管理の不可欠な要素となり、最終的には患者の転帰を改善し、腫瘍治療の状況を変えることが期待されています。</w:t>
      </w:r>
    </w:p>
    <w:p w14:paraId="0958A995" w14:textId="16D253D3" w:rsidR="0005752C" w:rsidRPr="0005752C" w:rsidRDefault="0005752C" w:rsidP="0005752C">
      <w:r w:rsidRPr="0005752C">
        <w:t xml:space="preserve">レポート全文は、次のWebサイトにアクセスしてください </w:t>
      </w:r>
      <w:hyperlink r:id="rId8" w:history="1">
        <w:r w:rsidRPr="00903942">
          <w:rPr>
            <w:rStyle w:val="Hyperlink"/>
          </w:rPr>
          <w:t>https://www.skyquestt.com/report/liquid-biopsy-market</w:t>
        </w:r>
      </w:hyperlink>
      <w:r>
        <w:t xml:space="preserve"> </w:t>
      </w:r>
    </w:p>
    <w:p w14:paraId="242D91DB" w14:textId="3B79924F" w:rsidR="004D40C5" w:rsidRDefault="004D40C5"/>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C7008"/>
    <w:multiLevelType w:val="multilevel"/>
    <w:tmpl w:val="58C29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42230E"/>
    <w:multiLevelType w:val="hybridMultilevel"/>
    <w:tmpl w:val="F980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565470"/>
    <w:multiLevelType w:val="multilevel"/>
    <w:tmpl w:val="1EEED310"/>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num w:numId="1" w16cid:durableId="1500316688">
    <w:abstractNumId w:val="2"/>
  </w:num>
  <w:num w:numId="2" w16cid:durableId="2102723643">
    <w:abstractNumId w:val="0"/>
  </w:num>
  <w:num w:numId="3" w16cid:durableId="388923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52C"/>
    <w:rsid w:val="0005752C"/>
    <w:rsid w:val="001D01DB"/>
    <w:rsid w:val="00274CDA"/>
    <w:rsid w:val="004D40C5"/>
    <w:rsid w:val="00B354D8"/>
    <w:rsid w:val="00BB68BD"/>
    <w:rsid w:val="00C10B0B"/>
    <w:rsid w:val="00C15B33"/>
    <w:rsid w:val="00CF5391"/>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1C436"/>
  <w15:chartTrackingRefBased/>
  <w15:docId w15:val="{CA5AA5FC-EB55-49C0-8D3C-05A691B7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5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75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75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75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75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75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5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5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5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5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75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75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75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75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75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5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5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52C"/>
    <w:rPr>
      <w:rFonts w:eastAsiaTheme="majorEastAsia" w:cstheme="majorBidi"/>
      <w:color w:val="272727" w:themeColor="text1" w:themeTint="D8"/>
    </w:rPr>
  </w:style>
  <w:style w:type="paragraph" w:styleId="Title">
    <w:name w:val="Title"/>
    <w:basedOn w:val="Normal"/>
    <w:next w:val="Normal"/>
    <w:link w:val="TitleChar"/>
    <w:uiPriority w:val="10"/>
    <w:qFormat/>
    <w:rsid w:val="00057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5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5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5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52C"/>
    <w:pPr>
      <w:spacing w:before="160"/>
      <w:jc w:val="center"/>
    </w:pPr>
    <w:rPr>
      <w:i/>
      <w:iCs/>
      <w:color w:val="404040" w:themeColor="text1" w:themeTint="BF"/>
    </w:rPr>
  </w:style>
  <w:style w:type="character" w:customStyle="1" w:styleId="QuoteChar">
    <w:name w:val="Quote Char"/>
    <w:basedOn w:val="DefaultParagraphFont"/>
    <w:link w:val="Quote"/>
    <w:uiPriority w:val="29"/>
    <w:rsid w:val="0005752C"/>
    <w:rPr>
      <w:i/>
      <w:iCs/>
      <w:color w:val="404040" w:themeColor="text1" w:themeTint="BF"/>
    </w:rPr>
  </w:style>
  <w:style w:type="paragraph" w:styleId="ListParagraph">
    <w:name w:val="List Paragraph"/>
    <w:basedOn w:val="Normal"/>
    <w:uiPriority w:val="34"/>
    <w:qFormat/>
    <w:rsid w:val="0005752C"/>
    <w:pPr>
      <w:ind w:left="720"/>
      <w:contextualSpacing/>
    </w:pPr>
  </w:style>
  <w:style w:type="character" w:styleId="IntenseEmphasis">
    <w:name w:val="Intense Emphasis"/>
    <w:basedOn w:val="DefaultParagraphFont"/>
    <w:uiPriority w:val="21"/>
    <w:qFormat/>
    <w:rsid w:val="0005752C"/>
    <w:rPr>
      <w:i/>
      <w:iCs/>
      <w:color w:val="2F5496" w:themeColor="accent1" w:themeShade="BF"/>
    </w:rPr>
  </w:style>
  <w:style w:type="paragraph" w:styleId="IntenseQuote">
    <w:name w:val="Intense Quote"/>
    <w:basedOn w:val="Normal"/>
    <w:next w:val="Normal"/>
    <w:link w:val="IntenseQuoteChar"/>
    <w:uiPriority w:val="30"/>
    <w:qFormat/>
    <w:rsid w:val="000575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752C"/>
    <w:rPr>
      <w:i/>
      <w:iCs/>
      <w:color w:val="2F5496" w:themeColor="accent1" w:themeShade="BF"/>
    </w:rPr>
  </w:style>
  <w:style w:type="character" w:styleId="IntenseReference">
    <w:name w:val="Intense Reference"/>
    <w:basedOn w:val="DefaultParagraphFont"/>
    <w:uiPriority w:val="32"/>
    <w:qFormat/>
    <w:rsid w:val="0005752C"/>
    <w:rPr>
      <w:b/>
      <w:bCs/>
      <w:smallCaps/>
      <w:color w:val="2F5496" w:themeColor="accent1" w:themeShade="BF"/>
      <w:spacing w:val="5"/>
    </w:rPr>
  </w:style>
  <w:style w:type="character" w:styleId="Hyperlink">
    <w:name w:val="Hyperlink"/>
    <w:basedOn w:val="DefaultParagraphFont"/>
    <w:uiPriority w:val="99"/>
    <w:unhideWhenUsed/>
    <w:rsid w:val="0005752C"/>
    <w:rPr>
      <w:color w:val="0563C1" w:themeColor="hyperlink"/>
      <w:u w:val="single"/>
    </w:rPr>
  </w:style>
  <w:style w:type="character" w:styleId="UnresolvedMention">
    <w:name w:val="Unresolved Mention"/>
    <w:basedOn w:val="DefaultParagraphFont"/>
    <w:uiPriority w:val="99"/>
    <w:semiHidden/>
    <w:unhideWhenUsed/>
    <w:rsid w:val="0005752C"/>
    <w:rPr>
      <w:color w:val="605E5C"/>
      <w:shd w:val="clear" w:color="auto" w:fill="E1DFDD"/>
    </w:rPr>
  </w:style>
  <w:style w:type="character" w:styleId="PlaceholderText">
    <w:name w:val="Placeholder Text"/>
    <w:basedOn w:val="DefaultParagraphFont"/>
    <w:uiPriority w:val="99"/>
    <w:semiHidden/>
    <w:rsid w:val="00C10B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78075">
      <w:bodyDiv w:val="1"/>
      <w:marLeft w:val="0"/>
      <w:marRight w:val="0"/>
      <w:marTop w:val="0"/>
      <w:marBottom w:val="0"/>
      <w:divBdr>
        <w:top w:val="none" w:sz="0" w:space="0" w:color="auto"/>
        <w:left w:val="none" w:sz="0" w:space="0" w:color="auto"/>
        <w:bottom w:val="none" w:sz="0" w:space="0" w:color="auto"/>
        <w:right w:val="none" w:sz="0" w:space="0" w:color="auto"/>
      </w:divBdr>
    </w:div>
    <w:div w:id="395276854">
      <w:bodyDiv w:val="1"/>
      <w:marLeft w:val="0"/>
      <w:marRight w:val="0"/>
      <w:marTop w:val="0"/>
      <w:marBottom w:val="0"/>
      <w:divBdr>
        <w:top w:val="none" w:sz="0" w:space="0" w:color="auto"/>
        <w:left w:val="none" w:sz="0" w:space="0" w:color="auto"/>
        <w:bottom w:val="none" w:sz="0" w:space="0" w:color="auto"/>
        <w:right w:val="none" w:sz="0" w:space="0" w:color="auto"/>
      </w:divBdr>
    </w:div>
    <w:div w:id="1616525756">
      <w:bodyDiv w:val="1"/>
      <w:marLeft w:val="0"/>
      <w:marRight w:val="0"/>
      <w:marTop w:val="0"/>
      <w:marBottom w:val="0"/>
      <w:divBdr>
        <w:top w:val="none" w:sz="0" w:space="0" w:color="auto"/>
        <w:left w:val="none" w:sz="0" w:space="0" w:color="auto"/>
        <w:bottom w:val="none" w:sz="0" w:space="0" w:color="auto"/>
        <w:right w:val="none" w:sz="0" w:space="0" w:color="auto"/>
      </w:divBdr>
    </w:div>
    <w:div w:id="1651015398">
      <w:bodyDiv w:val="1"/>
      <w:marLeft w:val="0"/>
      <w:marRight w:val="0"/>
      <w:marTop w:val="0"/>
      <w:marBottom w:val="0"/>
      <w:divBdr>
        <w:top w:val="none" w:sz="0" w:space="0" w:color="auto"/>
        <w:left w:val="none" w:sz="0" w:space="0" w:color="auto"/>
        <w:bottom w:val="none" w:sz="0" w:space="0" w:color="auto"/>
        <w:right w:val="none" w:sz="0" w:space="0" w:color="auto"/>
      </w:divBdr>
    </w:div>
    <w:div w:id="2071075041">
      <w:bodyDiv w:val="1"/>
      <w:marLeft w:val="0"/>
      <w:marRight w:val="0"/>
      <w:marTop w:val="0"/>
      <w:marBottom w:val="0"/>
      <w:divBdr>
        <w:top w:val="none" w:sz="0" w:space="0" w:color="auto"/>
        <w:left w:val="none" w:sz="0" w:space="0" w:color="auto"/>
        <w:bottom w:val="none" w:sz="0" w:space="0" w:color="auto"/>
        <w:right w:val="none" w:sz="0" w:space="0" w:color="auto"/>
      </w:divBdr>
    </w:div>
    <w:div w:id="208399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liquid-biopsy-market" TargetMode="External"/><Relationship Id="rId3" Type="http://schemas.openxmlformats.org/officeDocument/2006/relationships/settings" Target="settings.xml"/><Relationship Id="rId7" Type="http://schemas.openxmlformats.org/officeDocument/2006/relationships/hyperlink" Target="https://www.skyquestt.com/buy-now/liquid-biopsy-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liquid-biopsy-market" TargetMode="External"/><Relationship Id="rId5" Type="http://schemas.openxmlformats.org/officeDocument/2006/relationships/hyperlink" Target="https://www.skyquestt.com/sample-request/liquid-biopsy-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462</Words>
  <Characters>2637</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2025-04-06T17:11:00Z</dcterms:created>
  <dcterms:modified xsi:type="dcterms:W3CDTF">2025-04-06T17:15:00Z</dcterms:modified>
</cp:coreProperties>
</file>