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37B9" w14:textId="11122387" w:rsidR="000A51DC" w:rsidRDefault="000A51DC" w:rsidP="000A51DC">
      <w:pPr>
        <w:rPr>
          <w:b/>
          <w:bCs/>
        </w:rPr>
      </w:pPr>
      <w:r w:rsidRPr="000A51DC">
        <w:rPr>
          <w:b/>
          <w:bCs/>
        </w:rPr>
        <w:t>ゲノミクス市場は、精密医療とシーケンシングの革新によりCAGR12.3%で成長</w:t>
      </w:r>
    </w:p>
    <w:p w14:paraId="047AE7C5" w14:textId="77777777" w:rsidR="000A51DC" w:rsidRPr="000A51DC" w:rsidRDefault="000A51DC" w:rsidP="000A51DC">
      <w:r w:rsidRPr="000A51DC">
        <w:t>ゲノミクスは、生物のDNAの構造、機能、進化、マッピングであるゲノムの研究です。全体として、市場は長年にわたって人間の生活のこの分野に大きな影響を与えてきました。このように、医学・生物医科学は、ゲノミクス革命により急速な変革の過程にあります。世界的ながん罹患率の増加により、ゲノミクスプロジェクトへの助成金という形で政府の支援が増加しています。個別化医療の考え方は、ヒトゲノムの研究によって可能になり、臨床腫瘍学および希少遺伝性疾患の管理/治療方法に革命をもたらしました。</w:t>
      </w:r>
    </w:p>
    <w:p w14:paraId="6CE0B483" w14:textId="77777777" w:rsidR="000A51DC" w:rsidRPr="000A51DC" w:rsidRDefault="000A51DC" w:rsidP="000A51DC">
      <w:pPr>
        <w:rPr>
          <w:b/>
          <w:bCs/>
        </w:rPr>
      </w:pPr>
      <w:r w:rsidRPr="000A51DC">
        <w:rPr>
          <w:b/>
          <w:bCs/>
        </w:rPr>
        <w:t>ゲノミクスの市場規模は2023年に371億米ドルと評価され、2024年の416億6000万米ドルから2032年までに1053億9000万米ドルに成長し、予測期間(2025年から2032年)の間に12.3%のCAGRで成長する態勢を整えています。</w:t>
      </w:r>
    </w:p>
    <w:p w14:paraId="555EC8C4" w14:textId="35A9A579" w:rsidR="000A51DC" w:rsidRPr="000A51DC" w:rsidRDefault="000A51DC" w:rsidP="000A51DC">
      <w:r w:rsidRPr="000A51DC">
        <w:t xml:space="preserve">今すぐ無料サンプルレポートを入手: </w:t>
      </w:r>
      <w:hyperlink r:id="rId5" w:history="1">
        <w:r w:rsidRPr="000A51DC">
          <w:rPr>
            <w:rStyle w:val="Hyperlink"/>
          </w:rPr>
          <w:t>https://www.skyquestt.com/sample-request/genomics-market</w:t>
        </w:r>
      </w:hyperlink>
      <w:r w:rsidRPr="000A51DC">
        <w:t xml:space="preserve"> </w:t>
      </w:r>
    </w:p>
    <w:p w14:paraId="086E5DEC" w14:textId="7A1A132E" w:rsidR="000A51DC" w:rsidRPr="000A51DC" w:rsidRDefault="000A51DC" w:rsidP="000A51DC">
      <w:r w:rsidRPr="000A51DC">
        <w:rPr>
          <w:b/>
          <w:bCs/>
        </w:rPr>
        <w:t>市場成長の主な推進力</w:t>
      </w:r>
    </w:p>
    <w:p w14:paraId="0D15E1C8" w14:textId="050DC4C1" w:rsidR="000A51DC" w:rsidRPr="000A51DC" w:rsidRDefault="000A51DC" w:rsidP="000A51DC">
      <w:pPr>
        <w:numPr>
          <w:ilvl w:val="0"/>
          <w:numId w:val="1"/>
        </w:numPr>
      </w:pPr>
      <w:r w:rsidRPr="000A51DC">
        <w:rPr>
          <w:b/>
          <w:bCs/>
        </w:rPr>
        <w:t>個別化医療</w:t>
      </w:r>
      <w:r w:rsidRPr="000A51DC">
        <w:t>:遺伝子プロファイルに基づく個別化治療計画への移行は、医療に革命をもたらし、より効果的で標的を絞った治療を可能にしました。</w:t>
      </w:r>
    </w:p>
    <w:p w14:paraId="1B836E3B" w14:textId="7C41D9A8" w:rsidR="000A51DC" w:rsidRPr="000A51DC" w:rsidRDefault="000A51DC" w:rsidP="000A51DC">
      <w:pPr>
        <w:numPr>
          <w:ilvl w:val="0"/>
          <w:numId w:val="1"/>
        </w:numPr>
      </w:pPr>
      <w:r w:rsidRPr="000A51DC">
        <w:rPr>
          <w:b/>
          <w:bCs/>
        </w:rPr>
        <w:t>技術の進歩</w:t>
      </w:r>
      <w:r w:rsidRPr="000A51DC">
        <w:t>:次世代シーケンシング(NGS)などのシーケンシング技術の革新により、ゲノム解析のコストが削減され、速度と精度が向上しました。</w:t>
      </w:r>
    </w:p>
    <w:p w14:paraId="1C28863B" w14:textId="0547EF0E" w:rsidR="000A51DC" w:rsidRPr="000A51DC" w:rsidRDefault="000A51DC" w:rsidP="000A51DC">
      <w:pPr>
        <w:numPr>
          <w:ilvl w:val="0"/>
          <w:numId w:val="1"/>
        </w:numPr>
      </w:pPr>
      <w:r w:rsidRPr="000A51DC">
        <w:rPr>
          <w:b/>
          <w:bCs/>
        </w:rPr>
        <w:t>研究資金の増加</w:t>
      </w:r>
      <w:r w:rsidRPr="000A51DC">
        <w:t>:政府や民間団体は、ゲノミクス研究に多額の投資を行っており、複雑な疾患に対処し、公衆衛生の成果を向上させる可能性を認識しています。</w:t>
      </w:r>
    </w:p>
    <w:p w14:paraId="59B25322" w14:textId="33AAAAA7" w:rsidR="000A51DC" w:rsidRPr="000A51DC" w:rsidRDefault="000A51DC" w:rsidP="000A51DC">
      <w:pPr>
        <w:numPr>
          <w:ilvl w:val="0"/>
          <w:numId w:val="1"/>
        </w:numPr>
      </w:pPr>
      <w:r w:rsidRPr="000A51DC">
        <w:rPr>
          <w:b/>
          <w:bCs/>
        </w:rPr>
        <w:t>慢性疾患の有病率の上昇</w:t>
      </w:r>
      <w:r w:rsidRPr="000A51DC">
        <w:t>:がんや希少な遺伝性疾患などの疾患の発生率の増加により、ゲノム診断と治療の需要が高まっています。</w:t>
      </w:r>
    </w:p>
    <w:p w14:paraId="617DC4B8" w14:textId="3D5E4121" w:rsidR="000A51DC" w:rsidRPr="000A51DC" w:rsidRDefault="000A51DC" w:rsidP="000A51DC">
      <w:r w:rsidRPr="000A51DC">
        <w:t>カスタマイズされたレポートについては、パーソナライゼーションをリクエストするためにお問い合</w:t>
      </w:r>
      <w:proofErr w:type="gramStart"/>
      <w:r w:rsidRPr="000A51DC">
        <w:t>わせください:https://www.skyquestt.com/speak-with-analyst/genomics-market</w:t>
      </w:r>
      <w:proofErr w:type="gramEnd"/>
      <w:r w:rsidRPr="000A51DC">
        <w:t xml:space="preserve"> </w:t>
      </w:r>
      <w:hyperlink r:id="rId6" w:history="1"/>
      <w:r w:rsidRPr="000A51DC">
        <w:t xml:space="preserve"> </w:t>
      </w:r>
    </w:p>
    <w:p w14:paraId="292C270E" w14:textId="18F09B2D" w:rsidR="000A51DC" w:rsidRPr="000A51DC" w:rsidRDefault="000A51DC" w:rsidP="000A51DC">
      <w:r w:rsidRPr="000A51DC">
        <w:rPr>
          <w:b/>
          <w:bCs/>
        </w:rPr>
        <w:t>市場セグメンテーション</w:t>
      </w:r>
    </w:p>
    <w:p w14:paraId="1DE3068D" w14:textId="356195D8" w:rsidR="000A51DC" w:rsidRPr="000A51DC" w:rsidRDefault="000A51DC" w:rsidP="000A51DC">
      <w:pPr>
        <w:numPr>
          <w:ilvl w:val="0"/>
          <w:numId w:val="2"/>
        </w:numPr>
      </w:pPr>
      <w:r w:rsidRPr="000A51DC">
        <w:rPr>
          <w:b/>
          <w:bCs/>
        </w:rPr>
        <w:t>製品およびサービス別</w:t>
      </w:r>
      <w:r w:rsidRPr="000A51DC">
        <w:t>:消耗品および試薬、サービス、機器、システム、およびソフトウェア。</w:t>
      </w:r>
    </w:p>
    <w:p w14:paraId="297F071F" w14:textId="7BBE5CC0" w:rsidR="000A51DC" w:rsidRPr="000A51DC" w:rsidRDefault="000A51DC" w:rsidP="000A51DC">
      <w:pPr>
        <w:numPr>
          <w:ilvl w:val="0"/>
          <w:numId w:val="2"/>
        </w:numPr>
      </w:pPr>
      <w:r w:rsidRPr="000A51DC">
        <w:rPr>
          <w:b/>
          <w:bCs/>
        </w:rPr>
        <w:t>テクノロジー別</w:t>
      </w:r>
      <w:r w:rsidRPr="000A51DC">
        <w:t>:シーケンシング、PCR、フローサイトメトリー、マイクロアレイなど。</w:t>
      </w:r>
    </w:p>
    <w:p w14:paraId="0940F713" w14:textId="50F9376C" w:rsidR="000A51DC" w:rsidRPr="000A51DC" w:rsidRDefault="000A51DC" w:rsidP="000A51DC">
      <w:pPr>
        <w:numPr>
          <w:ilvl w:val="0"/>
          <w:numId w:val="2"/>
        </w:numPr>
      </w:pPr>
      <w:r w:rsidRPr="000A51DC">
        <w:rPr>
          <w:b/>
          <w:bCs/>
        </w:rPr>
        <w:lastRenderedPageBreak/>
        <w:t>研究タイプ別</w:t>
      </w:r>
      <w:r w:rsidRPr="000A51DC">
        <w:t>:機能ゲノミクス、バイオマーカー発見、パスウェイ解析、エピゲノミクスなど。</w:t>
      </w:r>
    </w:p>
    <w:p w14:paraId="1C5339F8" w14:textId="03D005E0" w:rsidR="000A51DC" w:rsidRPr="000A51DC" w:rsidRDefault="000A51DC" w:rsidP="000A51DC">
      <w:pPr>
        <w:numPr>
          <w:ilvl w:val="0"/>
          <w:numId w:val="2"/>
        </w:numPr>
      </w:pPr>
      <w:r w:rsidRPr="000A51DC">
        <w:rPr>
          <w:b/>
          <w:bCs/>
        </w:rPr>
        <w:t>アプリケーション別</w:t>
      </w:r>
      <w:r w:rsidRPr="000A51DC">
        <w:t>:創薬と開発、診断、農業および動物研究など。</w:t>
      </w:r>
    </w:p>
    <w:p w14:paraId="3FE39D0F" w14:textId="5E7E1B78" w:rsidR="000A51DC" w:rsidRPr="000A51DC" w:rsidRDefault="000A51DC" w:rsidP="000A51DC">
      <w:pPr>
        <w:numPr>
          <w:ilvl w:val="0"/>
          <w:numId w:val="2"/>
        </w:numPr>
      </w:pPr>
      <w:r w:rsidRPr="000A51DC">
        <w:rPr>
          <w:b/>
          <w:bCs/>
        </w:rPr>
        <w:t>最終用途別</w:t>
      </w:r>
      <w:r w:rsidRPr="000A51DC">
        <w:t>:政府および学術機関、病院および診療所、製薬会社、バイオテクノロジー企業など。</w:t>
      </w:r>
    </w:p>
    <w:p w14:paraId="1A0D2A9C" w14:textId="77777777" w:rsidR="000A51DC" w:rsidRPr="000A51DC" w:rsidRDefault="000A51DC" w:rsidP="000A51DC">
      <w:r w:rsidRPr="000A51DC">
        <w:rPr>
          <w:b/>
          <w:bCs/>
        </w:rPr>
        <w:t>地域インサイト</w:t>
      </w:r>
    </w:p>
    <w:p w14:paraId="06285434" w14:textId="26F0B42B" w:rsidR="000A51DC" w:rsidRPr="000A51DC" w:rsidRDefault="000A51DC" w:rsidP="000A51DC">
      <w:r w:rsidRPr="000A51DC">
        <w:t>北米は現在、その強固な研究インフラ、多額の資金、および主要な業界プレーヤーの存在に起因して、ゲノミクス市場をリードしています。しかし、アジア太平洋地域は、医療インフラへの投資の増加、個別化医療に対する意識の高まり、政府の支援的な取り組みにより、最も速い成長を遂げると予想されています。</w:t>
      </w:r>
    </w:p>
    <w:p w14:paraId="0E7DA126" w14:textId="77777777" w:rsidR="000A51DC" w:rsidRPr="000A51DC" w:rsidRDefault="000A51DC" w:rsidP="000A51DC">
      <w:pPr>
        <w:rPr>
          <w:b/>
          <w:bCs/>
        </w:rPr>
      </w:pPr>
      <w:r w:rsidRPr="000A51DC">
        <w:rPr>
          <w:b/>
          <w:bCs/>
        </w:rPr>
        <w:t>ゲノミクス市場のトッププレーヤー</w:t>
      </w:r>
    </w:p>
    <w:p w14:paraId="049BFA09" w14:textId="77777777" w:rsidR="000A51DC" w:rsidRPr="000A51DC" w:rsidRDefault="000A51DC" w:rsidP="000A51DC">
      <w:pPr>
        <w:pStyle w:val="ListParagraph"/>
        <w:numPr>
          <w:ilvl w:val="0"/>
          <w:numId w:val="3"/>
        </w:numPr>
      </w:pPr>
      <w:r w:rsidRPr="000A51DC">
        <w:t>Illumina, Inc.(米国)</w:t>
      </w:r>
    </w:p>
    <w:p w14:paraId="6ED3ECD4" w14:textId="77777777" w:rsidR="000A51DC" w:rsidRPr="000A51DC" w:rsidRDefault="000A51DC" w:rsidP="000A51DC">
      <w:pPr>
        <w:pStyle w:val="ListParagraph"/>
        <w:numPr>
          <w:ilvl w:val="0"/>
          <w:numId w:val="3"/>
        </w:numPr>
      </w:pPr>
      <w:proofErr w:type="spellStart"/>
      <w:r w:rsidRPr="000A51DC">
        <w:t>サーモフィッシャーサイエンティフィック</w:t>
      </w:r>
      <w:proofErr w:type="spellEnd"/>
      <w:r w:rsidRPr="000A51DC">
        <w:t>(</w:t>
      </w:r>
      <w:proofErr w:type="spellStart"/>
      <w:r w:rsidRPr="000A51DC">
        <w:t>米国</w:t>
      </w:r>
      <w:proofErr w:type="spellEnd"/>
      <w:r w:rsidRPr="000A51DC">
        <w:t xml:space="preserve">) </w:t>
      </w:r>
    </w:p>
    <w:p w14:paraId="53317EBF" w14:textId="77777777" w:rsidR="000A51DC" w:rsidRPr="000A51DC" w:rsidRDefault="000A51DC" w:rsidP="000A51DC">
      <w:pPr>
        <w:pStyle w:val="ListParagraph"/>
        <w:numPr>
          <w:ilvl w:val="0"/>
          <w:numId w:val="3"/>
        </w:numPr>
      </w:pPr>
      <w:r w:rsidRPr="000A51DC">
        <w:t xml:space="preserve">Qiagen N.V. (オランダ) </w:t>
      </w:r>
    </w:p>
    <w:p w14:paraId="2CD8376F" w14:textId="77777777" w:rsidR="000A51DC" w:rsidRPr="000A51DC" w:rsidRDefault="000A51DC" w:rsidP="000A51DC">
      <w:pPr>
        <w:pStyle w:val="ListParagraph"/>
        <w:numPr>
          <w:ilvl w:val="0"/>
          <w:numId w:val="3"/>
        </w:numPr>
      </w:pPr>
      <w:r w:rsidRPr="000A51DC">
        <w:t xml:space="preserve">BGIグループ(中国) </w:t>
      </w:r>
    </w:p>
    <w:p w14:paraId="7DD37330" w14:textId="77777777" w:rsidR="000A51DC" w:rsidRPr="000A51DC" w:rsidRDefault="000A51DC" w:rsidP="000A51DC">
      <w:pPr>
        <w:pStyle w:val="ListParagraph"/>
        <w:numPr>
          <w:ilvl w:val="0"/>
          <w:numId w:val="3"/>
        </w:numPr>
      </w:pPr>
      <w:r w:rsidRPr="000A51DC">
        <w:t xml:space="preserve">F. Hoffmann-La Roche AG (スイス) </w:t>
      </w:r>
    </w:p>
    <w:p w14:paraId="33F6FEC9" w14:textId="77777777" w:rsidR="000A51DC" w:rsidRPr="000A51DC" w:rsidRDefault="000A51DC" w:rsidP="000A51DC">
      <w:pPr>
        <w:pStyle w:val="ListParagraph"/>
        <w:numPr>
          <w:ilvl w:val="0"/>
          <w:numId w:val="3"/>
        </w:numPr>
      </w:pPr>
      <w:r w:rsidRPr="000A51DC">
        <w:t xml:space="preserve">ダナハーコーポレーション(米国) </w:t>
      </w:r>
    </w:p>
    <w:p w14:paraId="259932B9" w14:textId="77777777" w:rsidR="000A51DC" w:rsidRPr="000A51DC" w:rsidRDefault="000A51DC" w:rsidP="000A51DC">
      <w:pPr>
        <w:pStyle w:val="ListParagraph"/>
        <w:numPr>
          <w:ilvl w:val="0"/>
          <w:numId w:val="3"/>
        </w:numPr>
      </w:pPr>
      <w:r w:rsidRPr="000A51DC">
        <w:t xml:space="preserve">Pacific Biosciences of California, Inc.(米国) </w:t>
      </w:r>
    </w:p>
    <w:p w14:paraId="013BA48C" w14:textId="77777777" w:rsidR="000A51DC" w:rsidRPr="000A51DC" w:rsidRDefault="000A51DC" w:rsidP="000A51DC">
      <w:pPr>
        <w:pStyle w:val="ListParagraph"/>
        <w:numPr>
          <w:ilvl w:val="0"/>
          <w:numId w:val="3"/>
        </w:numPr>
      </w:pPr>
      <w:r w:rsidRPr="000A51DC">
        <w:t xml:space="preserve">Oxford Nanopore Technologies, Ltd.(イギリス) </w:t>
      </w:r>
    </w:p>
    <w:p w14:paraId="68245152" w14:textId="77777777" w:rsidR="000A51DC" w:rsidRPr="000A51DC" w:rsidRDefault="000A51DC" w:rsidP="000A51DC">
      <w:pPr>
        <w:pStyle w:val="ListParagraph"/>
        <w:numPr>
          <w:ilvl w:val="0"/>
          <w:numId w:val="3"/>
        </w:numPr>
      </w:pPr>
      <w:r w:rsidRPr="000A51DC">
        <w:t xml:space="preserve">Eurofins Scientific SE (ルクセンブルク) </w:t>
      </w:r>
    </w:p>
    <w:p w14:paraId="5450950D" w14:textId="77777777" w:rsidR="000A51DC" w:rsidRPr="000A51DC" w:rsidRDefault="000A51DC" w:rsidP="000A51DC">
      <w:pPr>
        <w:pStyle w:val="ListParagraph"/>
        <w:numPr>
          <w:ilvl w:val="0"/>
          <w:numId w:val="3"/>
        </w:numPr>
      </w:pPr>
      <w:r w:rsidRPr="000A51DC">
        <w:t xml:space="preserve">バイオ・ラッド・ラボラトリーズ社 (米国) </w:t>
      </w:r>
    </w:p>
    <w:p w14:paraId="3272E5FF" w14:textId="77777777" w:rsidR="000A51DC" w:rsidRPr="000A51DC" w:rsidRDefault="000A51DC" w:rsidP="000A51DC">
      <w:pPr>
        <w:pStyle w:val="ListParagraph"/>
        <w:numPr>
          <w:ilvl w:val="0"/>
          <w:numId w:val="3"/>
        </w:numPr>
      </w:pPr>
      <w:r w:rsidRPr="000A51DC">
        <w:t xml:space="preserve">Myriad Genetics, Inc.(米国) </w:t>
      </w:r>
    </w:p>
    <w:p w14:paraId="7CEE2C0B" w14:textId="77777777" w:rsidR="000A51DC" w:rsidRPr="000A51DC" w:rsidRDefault="000A51DC" w:rsidP="000A51DC">
      <w:pPr>
        <w:pStyle w:val="ListParagraph"/>
        <w:numPr>
          <w:ilvl w:val="0"/>
          <w:numId w:val="3"/>
        </w:numPr>
      </w:pPr>
      <w:r w:rsidRPr="000A51DC">
        <w:t xml:space="preserve">Fluidigm Corporation (米国) </w:t>
      </w:r>
    </w:p>
    <w:p w14:paraId="581C9BFA" w14:textId="77777777" w:rsidR="000A51DC" w:rsidRPr="000A51DC" w:rsidRDefault="000A51DC" w:rsidP="000A51DC">
      <w:pPr>
        <w:pStyle w:val="ListParagraph"/>
        <w:numPr>
          <w:ilvl w:val="0"/>
          <w:numId w:val="3"/>
        </w:numPr>
      </w:pPr>
      <w:r w:rsidRPr="000A51DC">
        <w:t xml:space="preserve">PerkinElmer, Inc.(米国) </w:t>
      </w:r>
    </w:p>
    <w:p w14:paraId="5C98BAEF" w14:textId="77777777" w:rsidR="000A51DC" w:rsidRPr="000A51DC" w:rsidRDefault="000A51DC" w:rsidP="000A51DC">
      <w:pPr>
        <w:pStyle w:val="ListParagraph"/>
        <w:numPr>
          <w:ilvl w:val="0"/>
          <w:numId w:val="3"/>
        </w:numPr>
      </w:pPr>
      <w:r w:rsidRPr="000A51DC">
        <w:t xml:space="preserve">Twist Bioscience Corporation (米国) </w:t>
      </w:r>
    </w:p>
    <w:p w14:paraId="6A4838FD" w14:textId="77777777" w:rsidR="000A51DC" w:rsidRPr="000A51DC" w:rsidRDefault="000A51DC" w:rsidP="000A51DC">
      <w:pPr>
        <w:pStyle w:val="ListParagraph"/>
        <w:numPr>
          <w:ilvl w:val="0"/>
          <w:numId w:val="3"/>
        </w:numPr>
      </w:pPr>
      <w:r w:rsidRPr="000A51DC">
        <w:t xml:space="preserve">Natera, Inc.(米国) </w:t>
      </w:r>
    </w:p>
    <w:p w14:paraId="6FBF3DC4" w14:textId="77777777" w:rsidR="000A51DC" w:rsidRPr="000A51DC" w:rsidRDefault="000A51DC" w:rsidP="000A51DC">
      <w:pPr>
        <w:pStyle w:val="ListParagraph"/>
        <w:numPr>
          <w:ilvl w:val="0"/>
          <w:numId w:val="3"/>
        </w:numPr>
      </w:pPr>
      <w:proofErr w:type="spellStart"/>
      <w:r w:rsidRPr="000A51DC">
        <w:t>Veracyte</w:t>
      </w:r>
      <w:proofErr w:type="spellEnd"/>
      <w:r w:rsidRPr="000A51DC">
        <w:t>, Inc.(</w:t>
      </w:r>
      <w:proofErr w:type="spellStart"/>
      <w:r w:rsidRPr="000A51DC">
        <w:t>米国</w:t>
      </w:r>
      <w:proofErr w:type="spellEnd"/>
      <w:r w:rsidRPr="000A51DC">
        <w:t xml:space="preserve">) </w:t>
      </w:r>
    </w:p>
    <w:p w14:paraId="16B16BB6" w14:textId="77777777" w:rsidR="000A51DC" w:rsidRPr="000A51DC" w:rsidRDefault="000A51DC" w:rsidP="000A51DC">
      <w:pPr>
        <w:pStyle w:val="ListParagraph"/>
        <w:numPr>
          <w:ilvl w:val="0"/>
          <w:numId w:val="3"/>
        </w:numPr>
      </w:pPr>
      <w:proofErr w:type="spellStart"/>
      <w:r w:rsidRPr="000A51DC">
        <w:t>Personalis</w:t>
      </w:r>
      <w:proofErr w:type="spellEnd"/>
      <w:r w:rsidRPr="000A51DC">
        <w:t>, Inc. (</w:t>
      </w:r>
      <w:proofErr w:type="spellStart"/>
      <w:r w:rsidRPr="000A51DC">
        <w:t>米国</w:t>
      </w:r>
      <w:proofErr w:type="spellEnd"/>
      <w:r w:rsidRPr="000A51DC">
        <w:t xml:space="preserve">) </w:t>
      </w:r>
    </w:p>
    <w:p w14:paraId="2F7DE0FC" w14:textId="77777777" w:rsidR="000A51DC" w:rsidRPr="000A51DC" w:rsidRDefault="000A51DC" w:rsidP="000A51DC">
      <w:pPr>
        <w:pStyle w:val="ListParagraph"/>
        <w:numPr>
          <w:ilvl w:val="0"/>
          <w:numId w:val="3"/>
        </w:numPr>
      </w:pPr>
      <w:r w:rsidRPr="000A51DC">
        <w:t xml:space="preserve">10x Genomics, Inc.(米国) </w:t>
      </w:r>
    </w:p>
    <w:p w14:paraId="18BE258A" w14:textId="0B2D0269" w:rsidR="000A51DC" w:rsidRPr="000A51DC" w:rsidRDefault="000A51DC" w:rsidP="000A51DC">
      <w:pPr>
        <w:pStyle w:val="ListParagraph"/>
        <w:numPr>
          <w:ilvl w:val="0"/>
          <w:numId w:val="3"/>
        </w:numPr>
      </w:pPr>
      <w:r w:rsidRPr="000A51DC">
        <w:t>クエスト診断(米国)</w:t>
      </w:r>
    </w:p>
    <w:p w14:paraId="50BF934F" w14:textId="77777777" w:rsidR="000A51DC" w:rsidRPr="000A51DC" w:rsidRDefault="000A51DC" w:rsidP="000A51DC">
      <w:pPr>
        <w:rPr>
          <w:b/>
          <w:bCs/>
        </w:rPr>
      </w:pPr>
      <w:r w:rsidRPr="000A51DC">
        <w:rPr>
          <w:b/>
          <w:bCs/>
        </w:rPr>
        <w:t>ゲノミクス市場 最近の動向</w:t>
      </w:r>
    </w:p>
    <w:p w14:paraId="608330CA" w14:textId="77777777" w:rsidR="000A51DC" w:rsidRPr="000A51DC" w:rsidRDefault="000A51DC" w:rsidP="000A51DC">
      <w:pPr>
        <w:pStyle w:val="ListParagraph"/>
        <w:numPr>
          <w:ilvl w:val="0"/>
          <w:numId w:val="4"/>
        </w:numPr>
      </w:pPr>
      <w:r w:rsidRPr="000A51DC">
        <w:lastRenderedPageBreak/>
        <w:t>2024年5月、データ駆動型医療のリーダーとして知られるクラウドネイティブのヘルスケアテクノロジー企業であるSOPHiA GENETICS(Nasdaq:SOPH)は、MicrosoftおよびNVIDIAとのコラボレーションを発表しました。このパートナーシップは、テクノロジーとゲノミクスにおける両社の専門知識を活用して、医療機関向けの合理的でスケーラブルな全ゲノムシーケンシング(WGS)分析ソリューションを開発することを目的としており、年末までにこのソリューションを顧客が利用できるようにする予定です。</w:t>
      </w:r>
    </w:p>
    <w:p w14:paraId="23F38F39" w14:textId="77777777" w:rsidR="000A51DC" w:rsidRPr="000A51DC" w:rsidRDefault="000A51DC" w:rsidP="000A51DC">
      <w:pPr>
        <w:pStyle w:val="ListParagraph"/>
        <w:numPr>
          <w:ilvl w:val="0"/>
          <w:numId w:val="4"/>
        </w:numPr>
      </w:pPr>
      <w:r w:rsidRPr="000A51DC">
        <w:t>2023年3月、Illumina, Inc.(米国)は、臨床次世代シーケンシングデータの三次解析用に設計されたクラウドベースのソフトウェア「Connected Insights」を発表しました。この革新的なツールは、進行性腫瘍のゲノムプロファイリングや希少疾患の全ゲノムシーケンシングなど、高度なアプリケーションを支援します。</w:t>
      </w:r>
    </w:p>
    <w:p w14:paraId="1A090041" w14:textId="51CA4F61" w:rsidR="000A51DC" w:rsidRPr="000A51DC" w:rsidRDefault="000A51DC" w:rsidP="000A51DC">
      <w:pPr>
        <w:pStyle w:val="ListParagraph"/>
        <w:numPr>
          <w:ilvl w:val="0"/>
          <w:numId w:val="4"/>
        </w:numPr>
      </w:pPr>
      <w:r w:rsidRPr="000A51DC">
        <w:t xml:space="preserve">2023年2月、サーモフィッシャーサイエンティフィック社(米国)は、クラミジア・トラコマチス、淋菌、膣トリコモナス、マイコプラズマ・ジェニタリウムを特に研究目的で検出することを目的としたPCR検査「TrueMark STI Select </w:t>
      </w:r>
      <w:proofErr w:type="spellStart"/>
      <w:r w:rsidRPr="000A51DC">
        <w:t>Panel」を発表しました</w:t>
      </w:r>
      <w:proofErr w:type="spellEnd"/>
      <w:r w:rsidRPr="000A51DC">
        <w:t>。</w:t>
      </w:r>
    </w:p>
    <w:p w14:paraId="543304D7" w14:textId="12FCEEAE" w:rsidR="000A51DC" w:rsidRPr="000A51DC" w:rsidRDefault="000A51DC" w:rsidP="000A51DC">
      <w:r w:rsidRPr="000A51DC">
        <w:rPr>
          <w:b/>
          <w:bCs/>
        </w:rPr>
        <w:t>今後の見通し</w:t>
      </w:r>
    </w:p>
    <w:p w14:paraId="444D7D8D" w14:textId="7B3CACD6" w:rsidR="000A51DC" w:rsidRPr="000A51DC" w:rsidRDefault="000A51DC" w:rsidP="000A51DC">
      <w:r w:rsidRPr="000A51DC">
        <w:t>ゲノミクス市場は、ヘルスケア、農業、バイオテクノロジーなど、さまざまなセクターを変革することを目指しています。テクノロジーが進化し続け、よりアクセスしやすくなるにつれて、ゲノミクスは病気の予防、診断、治療において極めて重要な役割を果たすと予想されており、プレシジョンメディシンの新時代の到来を告げます。</w:t>
      </w:r>
      <w:r>
        <w:tab/>
      </w:r>
    </w:p>
    <w:p w14:paraId="5759E2EE" w14:textId="6E24B3C9" w:rsidR="004D40C5" w:rsidRDefault="000A51DC">
      <w:r w:rsidRPr="000A51DC">
        <w:t xml:space="preserve">レポート全文は、次のWebサイトにアクセスしてください </w:t>
      </w:r>
      <w:hyperlink r:id="rId7" w:history="1">
        <w:r w:rsidRPr="0030613A">
          <w:rPr>
            <w:rStyle w:val="Hyperlink"/>
          </w:rPr>
          <w:t>https://www.skyquestt.com/report/genomics-market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7FD"/>
    <w:multiLevelType w:val="hybridMultilevel"/>
    <w:tmpl w:val="9B80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C6F44"/>
    <w:multiLevelType w:val="multilevel"/>
    <w:tmpl w:val="99E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C5FDC"/>
    <w:multiLevelType w:val="hybridMultilevel"/>
    <w:tmpl w:val="691E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B5ECE"/>
    <w:multiLevelType w:val="multilevel"/>
    <w:tmpl w:val="7E7E27F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326977478">
    <w:abstractNumId w:val="3"/>
  </w:num>
  <w:num w:numId="2" w16cid:durableId="140386042">
    <w:abstractNumId w:val="1"/>
  </w:num>
  <w:num w:numId="3" w16cid:durableId="254021621">
    <w:abstractNumId w:val="2"/>
  </w:num>
  <w:num w:numId="4" w16cid:durableId="102132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C"/>
    <w:rsid w:val="000A51DC"/>
    <w:rsid w:val="001D01DB"/>
    <w:rsid w:val="00274CDA"/>
    <w:rsid w:val="004D40C5"/>
    <w:rsid w:val="005D571E"/>
    <w:rsid w:val="00831DBD"/>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6127"/>
  <w15:chartTrackingRefBased/>
  <w15:docId w15:val="{F5293B46-1D03-48B9-8423-39E677C4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1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1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1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1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1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1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1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1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1DC"/>
    <w:rPr>
      <w:rFonts w:eastAsiaTheme="majorEastAsia" w:cstheme="majorBidi"/>
      <w:color w:val="272727" w:themeColor="text1" w:themeTint="D8"/>
    </w:rPr>
  </w:style>
  <w:style w:type="paragraph" w:styleId="Title">
    <w:name w:val="Title"/>
    <w:basedOn w:val="Normal"/>
    <w:next w:val="Normal"/>
    <w:link w:val="TitleChar"/>
    <w:uiPriority w:val="10"/>
    <w:qFormat/>
    <w:rsid w:val="000A5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1DC"/>
    <w:pPr>
      <w:spacing w:before="160"/>
      <w:jc w:val="center"/>
    </w:pPr>
    <w:rPr>
      <w:i/>
      <w:iCs/>
      <w:color w:val="404040" w:themeColor="text1" w:themeTint="BF"/>
    </w:rPr>
  </w:style>
  <w:style w:type="character" w:customStyle="1" w:styleId="QuoteChar">
    <w:name w:val="Quote Char"/>
    <w:basedOn w:val="DefaultParagraphFont"/>
    <w:link w:val="Quote"/>
    <w:uiPriority w:val="29"/>
    <w:rsid w:val="000A51DC"/>
    <w:rPr>
      <w:i/>
      <w:iCs/>
      <w:color w:val="404040" w:themeColor="text1" w:themeTint="BF"/>
    </w:rPr>
  </w:style>
  <w:style w:type="paragraph" w:styleId="ListParagraph">
    <w:name w:val="List Paragraph"/>
    <w:basedOn w:val="Normal"/>
    <w:uiPriority w:val="34"/>
    <w:qFormat/>
    <w:rsid w:val="000A51DC"/>
    <w:pPr>
      <w:ind w:left="720"/>
      <w:contextualSpacing/>
    </w:pPr>
  </w:style>
  <w:style w:type="character" w:styleId="IntenseEmphasis">
    <w:name w:val="Intense Emphasis"/>
    <w:basedOn w:val="DefaultParagraphFont"/>
    <w:uiPriority w:val="21"/>
    <w:qFormat/>
    <w:rsid w:val="000A51DC"/>
    <w:rPr>
      <w:i/>
      <w:iCs/>
      <w:color w:val="2F5496" w:themeColor="accent1" w:themeShade="BF"/>
    </w:rPr>
  </w:style>
  <w:style w:type="paragraph" w:styleId="IntenseQuote">
    <w:name w:val="Intense Quote"/>
    <w:basedOn w:val="Normal"/>
    <w:next w:val="Normal"/>
    <w:link w:val="IntenseQuoteChar"/>
    <w:uiPriority w:val="30"/>
    <w:qFormat/>
    <w:rsid w:val="000A5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1DC"/>
    <w:rPr>
      <w:i/>
      <w:iCs/>
      <w:color w:val="2F5496" w:themeColor="accent1" w:themeShade="BF"/>
    </w:rPr>
  </w:style>
  <w:style w:type="character" w:styleId="IntenseReference">
    <w:name w:val="Intense Reference"/>
    <w:basedOn w:val="DefaultParagraphFont"/>
    <w:uiPriority w:val="32"/>
    <w:qFormat/>
    <w:rsid w:val="000A51DC"/>
    <w:rPr>
      <w:b/>
      <w:bCs/>
      <w:smallCaps/>
      <w:color w:val="2F5496" w:themeColor="accent1" w:themeShade="BF"/>
      <w:spacing w:val="5"/>
    </w:rPr>
  </w:style>
  <w:style w:type="character" w:styleId="Hyperlink">
    <w:name w:val="Hyperlink"/>
    <w:basedOn w:val="DefaultParagraphFont"/>
    <w:uiPriority w:val="99"/>
    <w:unhideWhenUsed/>
    <w:rsid w:val="000A51DC"/>
    <w:rPr>
      <w:color w:val="0563C1" w:themeColor="hyperlink"/>
      <w:u w:val="single"/>
    </w:rPr>
  </w:style>
  <w:style w:type="character" w:styleId="UnresolvedMention">
    <w:name w:val="Unresolved Mention"/>
    <w:basedOn w:val="DefaultParagraphFont"/>
    <w:uiPriority w:val="99"/>
    <w:semiHidden/>
    <w:unhideWhenUsed/>
    <w:rsid w:val="000A51DC"/>
    <w:rPr>
      <w:color w:val="605E5C"/>
      <w:shd w:val="clear" w:color="auto" w:fill="E1DFDD"/>
    </w:rPr>
  </w:style>
  <w:style w:type="character" w:styleId="PlaceholderText">
    <w:name w:val="Placeholder Text"/>
    <w:basedOn w:val="DefaultParagraphFont"/>
    <w:uiPriority w:val="99"/>
    <w:semiHidden/>
    <w:rsid w:val="005D57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99254">
      <w:bodyDiv w:val="1"/>
      <w:marLeft w:val="0"/>
      <w:marRight w:val="0"/>
      <w:marTop w:val="0"/>
      <w:marBottom w:val="0"/>
      <w:divBdr>
        <w:top w:val="none" w:sz="0" w:space="0" w:color="auto"/>
        <w:left w:val="none" w:sz="0" w:space="0" w:color="auto"/>
        <w:bottom w:val="none" w:sz="0" w:space="0" w:color="auto"/>
        <w:right w:val="none" w:sz="0" w:space="0" w:color="auto"/>
      </w:divBdr>
    </w:div>
    <w:div w:id="18897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genom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genomics-market" TargetMode="External"/><Relationship Id="rId5" Type="http://schemas.openxmlformats.org/officeDocument/2006/relationships/hyperlink" Target="https://www.skyquestt.com/sample-request/genom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2025-04-11T04:29:00Z</dcterms:created>
  <dcterms:modified xsi:type="dcterms:W3CDTF">2025-04-11T04:37:00Z</dcterms:modified>
</cp:coreProperties>
</file>