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F909C" w14:textId="5C3E767A" w:rsidR="000B18D6" w:rsidRDefault="000B18D6" w:rsidP="000B18D6">
      <w:pPr>
        <w:rPr>
          <w:b/>
          <w:bCs/>
        </w:rPr>
      </w:pPr>
      <w:r w:rsidRPr="000B18D6">
        <w:rPr>
          <w:b/>
          <w:bCs/>
        </w:rPr>
        <w:t>栄養補助食品市場は、健康意識の高まりに支えられ、2032年までに2,698億7,000万米ドルを超えると予測されています</w:t>
      </w:r>
    </w:p>
    <w:p w14:paraId="355D57D3" w14:textId="716EDDCA" w:rsidR="000B18D6" w:rsidRDefault="000B18D6" w:rsidP="000B18D6">
      <w:r w:rsidRPr="000B18D6">
        <w:t>栄養補助食品は、通常の摂取量が不十分または不足している可能性のある消費者の食事を改善するために特別に設計された製品です。市場は、高齢者人口の増加、健康意識の高まり、予防医療の成長に支えられて勢いを増しています。さらに、オーガニック製品や天然製品への傾向、免疫やメンタルヘルスなどの健康問題を目的としたサプリメントの需要の高まり、個別化医療の台頭が市場の成長に影響を与えています。</w:t>
      </w:r>
    </w:p>
    <w:p w14:paraId="006A68B8" w14:textId="77777777" w:rsidR="000B18D6" w:rsidRPr="000B18D6" w:rsidRDefault="000B18D6" w:rsidP="000B18D6">
      <w:r w:rsidRPr="000B18D6">
        <w:t>栄養補助食品の市場規模は2023年に1,816億米ドルと評価され、2024年の1,897億7,000万米ドルから2032年までに2,698億7,000万米ドルに成長し、予測期間(2025-2032)中に4.5%のCAGRで成長する態勢を整えています。</w:t>
      </w:r>
    </w:p>
    <w:p w14:paraId="4912232F" w14:textId="3A6D31FD" w:rsidR="000B18D6" w:rsidRDefault="000B18D6" w:rsidP="000B18D6">
      <w:r w:rsidRPr="000B18D6">
        <w:t xml:space="preserve">今すぐ無料サンプルレポートを入手: </w:t>
      </w:r>
      <w:hyperlink r:id="rId5" w:history="1">
        <w:r w:rsidRPr="00465499">
          <w:rPr>
            <w:rStyle w:val="Hyperlink"/>
          </w:rPr>
          <w:t>https://www.skyquestt.com/sample-request/dietary-supplements-market</w:t>
        </w:r>
      </w:hyperlink>
      <w:r>
        <w:t xml:space="preserve"> </w:t>
      </w:r>
    </w:p>
    <w:p w14:paraId="16F755A3" w14:textId="77777777" w:rsidR="000B18D6" w:rsidRPr="000B18D6" w:rsidRDefault="000B18D6" w:rsidP="000B18D6">
      <w:pPr>
        <w:rPr>
          <w:b/>
          <w:bCs/>
        </w:rPr>
      </w:pPr>
      <w:r w:rsidRPr="000B18D6">
        <w:rPr>
          <w:b/>
          <w:bCs/>
        </w:rPr>
        <w:t>主な成長ドライバー:</w:t>
      </w:r>
    </w:p>
    <w:p w14:paraId="299D0404" w14:textId="77777777" w:rsidR="000B18D6" w:rsidRPr="000B18D6" w:rsidRDefault="000B18D6" w:rsidP="000B18D6">
      <w:r w:rsidRPr="000B18D6">
        <w:rPr>
          <w:b/>
          <w:bCs/>
        </w:rPr>
        <w:t>1. 予防医療の採用の急増:</w:t>
      </w:r>
      <w:r w:rsidRPr="000B18D6">
        <w:br/>
        <w:t>消費者はますます治療よりも予防にシフトしています。糖尿病、肥満、心血管疾患などの慢性疾患に対する意識が高まるにつれ、健康管理の予防的アプローチとしてサプリメントに目を向ける人が増えています。</w:t>
      </w:r>
    </w:p>
    <w:p w14:paraId="07AFD0F8" w14:textId="77777777" w:rsidR="000B18D6" w:rsidRPr="000B18D6" w:rsidRDefault="000B18D6" w:rsidP="000B18D6">
      <w:r w:rsidRPr="000B18D6">
        <w:rPr>
          <w:b/>
          <w:bCs/>
        </w:rPr>
        <w:t>2.高齢化人口の急速な増加:</w:t>
      </w:r>
      <w:r w:rsidRPr="000B18D6">
        <w:br/>
        <w:t>世界的に、高齢者人口は増加しています。この層は、栄養不足や慢性疾患に苦しむ可能性が高く、その結果、カルシウム、ビタミンD、オメガ3脂肪酸、マルチビタミンなどのサプリメントの消費が増加します。</w:t>
      </w:r>
    </w:p>
    <w:p w14:paraId="7EF06074" w14:textId="77777777" w:rsidR="000B18D6" w:rsidRPr="000B18D6" w:rsidRDefault="000B18D6" w:rsidP="000B18D6">
      <w:r w:rsidRPr="000B18D6">
        <w:rPr>
          <w:b/>
          <w:bCs/>
        </w:rPr>
        <w:t>3.電子商取引と消費者直販のトレンド:</w:t>
      </w:r>
      <w:r w:rsidRPr="000B18D6">
        <w:br/>
        <w:t>デジタルプラットフォームは栄養補助食品へのアクセスに革命をもたらし、製品の発見、比較、配送をこれまで以上に簡単にしました。オンライン購入の利便性とデジタルマーケティングが相まって、消費者のリーチが拡大しています。</w:t>
      </w:r>
    </w:p>
    <w:p w14:paraId="66B14257" w14:textId="77777777" w:rsidR="000B18D6" w:rsidRPr="000B18D6" w:rsidRDefault="000B18D6" w:rsidP="000B18D6">
      <w:r w:rsidRPr="000B18D6">
        <w:rPr>
          <w:b/>
          <w:bCs/>
        </w:rPr>
        <w:t>4.スポーツ栄養とフィットネスの意識:</w:t>
      </w:r>
      <w:r w:rsidRPr="000B18D6">
        <w:br/>
        <w:t>特にミレニアル世代とZ世代の間でのジム文化、スポーツへの参加、身体意識の傾向の高まりは、プロテインパウダー、アミノ酸、エネルギーサプリメントの需要に大きく貢献しています。</w:t>
      </w:r>
    </w:p>
    <w:p w14:paraId="0CA77BD7" w14:textId="1D0F41AB" w:rsidR="000B18D6" w:rsidRPr="000B18D6" w:rsidRDefault="000B18D6" w:rsidP="000B18D6">
      <w:r w:rsidRPr="000B18D6">
        <w:rPr>
          <w:b/>
          <w:bCs/>
        </w:rPr>
        <w:t>5. 技術の進歩とパーソナライゼーション:</w:t>
      </w:r>
      <w:r w:rsidRPr="000B18D6">
        <w:br/>
        <w:t>DNAベースの栄養やパーソナライズされたサプリメントのサブスクリプションなどのイ</w:t>
      </w:r>
      <w:r w:rsidRPr="000B18D6">
        <w:lastRenderedPageBreak/>
        <w:t>ノベーションは、特定のライフスタイルや遺伝的ニーズに対応し、製品の有効性と消費者エンゲージメントの両方を高めています。</w:t>
      </w:r>
    </w:p>
    <w:p w14:paraId="428CA6FB" w14:textId="7757E5B5" w:rsidR="000B18D6" w:rsidRPr="000B18D6" w:rsidRDefault="000B18D6" w:rsidP="000B18D6">
      <w:r w:rsidRPr="000B18D6">
        <w:t>カスタマイズされたレポートについては、パーソナライゼーションをリクエストするためにお問い合</w:t>
      </w:r>
      <w:proofErr w:type="gramStart"/>
      <w:r w:rsidRPr="000B18D6">
        <w:t>わせください:https://www.skyquestt.com/speak-with-analyst/dietary-supplements-market</w:t>
      </w:r>
      <w:proofErr w:type="gramEnd"/>
      <w:r w:rsidRPr="000B18D6">
        <w:t xml:space="preserve"> </w:t>
      </w:r>
      <w:hyperlink r:id="rId6" w:history="1"/>
      <w:r>
        <w:t xml:space="preserve"> </w:t>
      </w:r>
    </w:p>
    <w:p w14:paraId="1046B136" w14:textId="26B32B30" w:rsidR="000B18D6" w:rsidRPr="000B18D6" w:rsidRDefault="000B18D6" w:rsidP="000B18D6">
      <w:pPr>
        <w:rPr>
          <w:b/>
          <w:bCs/>
        </w:rPr>
      </w:pPr>
      <w:r w:rsidRPr="000B18D6">
        <w:rPr>
          <w:b/>
          <w:bCs/>
        </w:rPr>
        <w:t>市場セグメンテーションのハイライト:</w:t>
      </w:r>
    </w:p>
    <w:p w14:paraId="030930C0" w14:textId="77777777" w:rsidR="000B18D6" w:rsidRPr="000B18D6" w:rsidRDefault="000B18D6" w:rsidP="000B18D6">
      <w:pPr>
        <w:numPr>
          <w:ilvl w:val="0"/>
          <w:numId w:val="1"/>
        </w:numPr>
      </w:pPr>
      <w:r w:rsidRPr="000B18D6">
        <w:rPr>
          <w:b/>
          <w:bCs/>
        </w:rPr>
        <w:t>成分別:</w:t>
      </w:r>
      <w:r w:rsidRPr="000B18D6">
        <w:t xml:space="preserve"> 植物、ビタミン、ミネラル、タンパク質とアミノ酸、酵素、脂肪酸。</w:t>
      </w:r>
    </w:p>
    <w:p w14:paraId="129FD7D8" w14:textId="77777777" w:rsidR="000B18D6" w:rsidRPr="000B18D6" w:rsidRDefault="000B18D6" w:rsidP="000B18D6">
      <w:pPr>
        <w:numPr>
          <w:ilvl w:val="0"/>
          <w:numId w:val="1"/>
        </w:numPr>
      </w:pPr>
      <w:r w:rsidRPr="000B18D6">
        <w:rPr>
          <w:b/>
          <w:bCs/>
        </w:rPr>
        <w:t>形態別:</w:t>
      </w:r>
      <w:r w:rsidRPr="000B18D6">
        <w:t xml:space="preserve"> 錠剤、カプセル、粉末、液体、グミ、ソフトジェル。</w:t>
      </w:r>
    </w:p>
    <w:p w14:paraId="192845C0" w14:textId="77777777" w:rsidR="000B18D6" w:rsidRPr="000B18D6" w:rsidRDefault="000B18D6" w:rsidP="000B18D6">
      <w:pPr>
        <w:numPr>
          <w:ilvl w:val="0"/>
          <w:numId w:val="1"/>
        </w:numPr>
      </w:pPr>
      <w:r w:rsidRPr="000B18D6">
        <w:rPr>
          <w:b/>
          <w:bCs/>
        </w:rPr>
        <w:t>アプリケーション別:</w:t>
      </w:r>
      <w:r w:rsidRPr="000B18D6">
        <w:t xml:space="preserve"> 一般的な健康、免疫の健康、骨と関節の健康、心臓の健康、体重管理、スポーツ栄養。</w:t>
      </w:r>
    </w:p>
    <w:p w14:paraId="1A99E2FE" w14:textId="278979C7" w:rsidR="000B18D6" w:rsidRPr="000B18D6" w:rsidRDefault="000B18D6" w:rsidP="000B18D6">
      <w:pPr>
        <w:numPr>
          <w:ilvl w:val="0"/>
          <w:numId w:val="1"/>
        </w:numPr>
      </w:pPr>
      <w:r w:rsidRPr="000B18D6">
        <w:rPr>
          <w:b/>
          <w:bCs/>
        </w:rPr>
        <w:t>エンドユーザー別:</w:t>
      </w:r>
      <w:r w:rsidRPr="000B18D6">
        <w:t xml:space="preserve"> 成人、老人、子供、妊婦。</w:t>
      </w:r>
    </w:p>
    <w:p w14:paraId="1CA5DBE1" w14:textId="77777777" w:rsidR="000B18D6" w:rsidRPr="000B18D6" w:rsidRDefault="000B18D6" w:rsidP="000B18D6">
      <w:pPr>
        <w:rPr>
          <w:b/>
          <w:bCs/>
        </w:rPr>
      </w:pPr>
      <w:r w:rsidRPr="000B18D6">
        <w:rPr>
          <w:b/>
          <w:bCs/>
        </w:rPr>
        <w:t>地域別インサイト:</w:t>
      </w:r>
    </w:p>
    <w:p w14:paraId="21F103A8" w14:textId="77777777" w:rsidR="000B18D6" w:rsidRPr="000B18D6" w:rsidRDefault="000B18D6" w:rsidP="000B18D6">
      <w:r w:rsidRPr="000B18D6">
        <w:rPr>
          <w:b/>
          <w:bCs/>
        </w:rPr>
        <w:t>北米は</w:t>
      </w:r>
      <w:r w:rsidRPr="000B18D6">
        <w:t>、2023年に552億3000万米ドル</w:t>
      </w:r>
      <w:r w:rsidRPr="000B18D6">
        <w:rPr>
          <w:b/>
          <w:bCs/>
        </w:rPr>
        <w:t>の評価額で市場をリードし</w:t>
      </w:r>
      <w:r w:rsidRPr="000B18D6">
        <w:t>、高い消費者意識、強固なフィットネス文化、ウェルネストレンドの広範な受容に支えられて、</w:t>
      </w:r>
      <w:r w:rsidRPr="000B18D6">
        <w:rPr>
          <w:b/>
          <w:bCs/>
        </w:rPr>
        <w:t>2032年までに917億3000万米ドル</w:t>
      </w:r>
      <w:r w:rsidRPr="000B18D6">
        <w:t>に達すると予測されています。</w:t>
      </w:r>
    </w:p>
    <w:p w14:paraId="6D74BB47" w14:textId="61949FA7" w:rsidR="000B18D6" w:rsidRPr="000B18D6" w:rsidRDefault="000B18D6" w:rsidP="000B18D6">
      <w:r w:rsidRPr="000B18D6">
        <w:rPr>
          <w:b/>
          <w:bCs/>
        </w:rPr>
        <w:t>アジア太平洋地域</w:t>
      </w:r>
      <w:r w:rsidRPr="000B18D6">
        <w:t xml:space="preserve"> は、特にインド、中国、日本、韓国などの国々で最も急成長している市場として浮上しています。その要因には、可処分所得の増加、都市化、ハーブやアーユルヴェーダベースのサプリメントに対する需要の高まりなどがあります。</w:t>
      </w:r>
    </w:p>
    <w:p w14:paraId="1E61FB72" w14:textId="77777777" w:rsidR="000B18D6" w:rsidRPr="000B18D6" w:rsidRDefault="000B18D6" w:rsidP="000B18D6">
      <w:pPr>
        <w:rPr>
          <w:b/>
          <w:bCs/>
        </w:rPr>
      </w:pPr>
      <w:r w:rsidRPr="000B18D6">
        <w:rPr>
          <w:b/>
          <w:bCs/>
        </w:rPr>
        <w:t>栄養補助食品市場の競争環境</w:t>
      </w:r>
    </w:p>
    <w:p w14:paraId="57387423" w14:textId="34BA3577" w:rsidR="000B18D6" w:rsidRPr="000B18D6" w:rsidRDefault="000B18D6" w:rsidP="000B18D6">
      <w:r w:rsidRPr="000B18D6">
        <w:t>世界の栄養補助食品市場は、多くの国際的な競合他社によって推進されている非常に競争の激しいグローバル市場です。最先端のAIおよびMLテクノロジーを備えた著名な企業は、Google、IBM、Microsoft、NVIDIAです。業界全体の幅広いアプリケーションをサポートするために、これらの業界の専門家は、最先端のアルゴリズム、スケーラブルなプラットフォーム、信頼性の高いインフラストラクチャの作成に注力しています。技術の急速な進歩、戦略的提携、研究開発への多額の支出が、競争環境を定義しています。</w:t>
      </w:r>
    </w:p>
    <w:p w14:paraId="2BCC440C" w14:textId="77777777" w:rsidR="000B18D6" w:rsidRPr="000B18D6" w:rsidRDefault="000B18D6" w:rsidP="000B18D6">
      <w:pPr>
        <w:rPr>
          <w:b/>
          <w:bCs/>
        </w:rPr>
      </w:pPr>
      <w:r w:rsidRPr="000B18D6">
        <w:rPr>
          <w:b/>
          <w:bCs/>
        </w:rPr>
        <w:t>栄養補助食品市場のトッププレーヤー</w:t>
      </w:r>
    </w:p>
    <w:p w14:paraId="565B5853" w14:textId="77777777" w:rsidR="000B18D6" w:rsidRPr="000B18D6" w:rsidRDefault="000B18D6" w:rsidP="000B18D6">
      <w:pPr>
        <w:pStyle w:val="ListParagraph"/>
        <w:numPr>
          <w:ilvl w:val="0"/>
          <w:numId w:val="2"/>
        </w:numPr>
      </w:pPr>
      <w:r w:rsidRPr="000B18D6">
        <w:t>ネスレ(スイス)</w:t>
      </w:r>
    </w:p>
    <w:p w14:paraId="09584B70" w14:textId="77777777" w:rsidR="000B18D6" w:rsidRPr="000B18D6" w:rsidRDefault="000B18D6" w:rsidP="000B18D6">
      <w:pPr>
        <w:pStyle w:val="ListParagraph"/>
        <w:numPr>
          <w:ilvl w:val="0"/>
          <w:numId w:val="2"/>
        </w:numPr>
      </w:pPr>
      <w:r w:rsidRPr="000B18D6">
        <w:t xml:space="preserve">アボットラボラトリーズ(米国) </w:t>
      </w:r>
    </w:p>
    <w:p w14:paraId="1B52AEA7" w14:textId="77777777" w:rsidR="000B18D6" w:rsidRPr="000B18D6" w:rsidRDefault="000B18D6" w:rsidP="000B18D6">
      <w:pPr>
        <w:pStyle w:val="ListParagraph"/>
        <w:numPr>
          <w:ilvl w:val="0"/>
          <w:numId w:val="2"/>
        </w:numPr>
      </w:pPr>
      <w:r w:rsidRPr="000B18D6">
        <w:t xml:space="preserve">Amway Corp.(米国) </w:t>
      </w:r>
    </w:p>
    <w:p w14:paraId="4E030187" w14:textId="77777777" w:rsidR="000B18D6" w:rsidRPr="000B18D6" w:rsidRDefault="000B18D6" w:rsidP="000B18D6">
      <w:pPr>
        <w:pStyle w:val="ListParagraph"/>
        <w:numPr>
          <w:ilvl w:val="0"/>
          <w:numId w:val="2"/>
        </w:numPr>
      </w:pPr>
      <w:r w:rsidRPr="000B18D6">
        <w:t xml:space="preserve">大塚ホールディングス株式会社(東京都) </w:t>
      </w:r>
    </w:p>
    <w:p w14:paraId="645E6F1C" w14:textId="77777777" w:rsidR="000B18D6" w:rsidRPr="000B18D6" w:rsidRDefault="000B18D6" w:rsidP="000B18D6">
      <w:pPr>
        <w:pStyle w:val="ListParagraph"/>
        <w:numPr>
          <w:ilvl w:val="0"/>
          <w:numId w:val="2"/>
        </w:numPr>
      </w:pPr>
      <w:r w:rsidRPr="000B18D6">
        <w:lastRenderedPageBreak/>
        <w:t xml:space="preserve">Glanbia PLC(アイルランド) </w:t>
      </w:r>
    </w:p>
    <w:p w14:paraId="15D96190" w14:textId="77777777" w:rsidR="000B18D6" w:rsidRPr="000B18D6" w:rsidRDefault="000B18D6" w:rsidP="000B18D6">
      <w:pPr>
        <w:pStyle w:val="ListParagraph"/>
        <w:numPr>
          <w:ilvl w:val="0"/>
          <w:numId w:val="2"/>
        </w:numPr>
      </w:pPr>
      <w:r w:rsidRPr="000B18D6">
        <w:t xml:space="preserve">Bayer AG (ドイツ) </w:t>
      </w:r>
    </w:p>
    <w:p w14:paraId="4F80835D" w14:textId="77777777" w:rsidR="000B18D6" w:rsidRPr="000B18D6" w:rsidRDefault="000B18D6" w:rsidP="000B18D6">
      <w:pPr>
        <w:pStyle w:val="ListParagraph"/>
        <w:numPr>
          <w:ilvl w:val="0"/>
          <w:numId w:val="2"/>
        </w:numPr>
      </w:pPr>
      <w:proofErr w:type="spellStart"/>
      <w:r w:rsidRPr="000B18D6">
        <w:t>Haleon</w:t>
      </w:r>
      <w:proofErr w:type="spellEnd"/>
      <w:r w:rsidRPr="000B18D6">
        <w:t xml:space="preserve"> Group of Companies (</w:t>
      </w:r>
      <w:proofErr w:type="spellStart"/>
      <w:r w:rsidRPr="000B18D6">
        <w:t>英国</w:t>
      </w:r>
      <w:proofErr w:type="spellEnd"/>
      <w:r w:rsidRPr="000B18D6">
        <w:t xml:space="preserve">) </w:t>
      </w:r>
    </w:p>
    <w:p w14:paraId="103C6D84" w14:textId="77777777" w:rsidR="000B18D6" w:rsidRPr="000B18D6" w:rsidRDefault="000B18D6" w:rsidP="000B18D6">
      <w:pPr>
        <w:pStyle w:val="ListParagraph"/>
        <w:numPr>
          <w:ilvl w:val="0"/>
          <w:numId w:val="2"/>
        </w:numPr>
      </w:pPr>
      <w:r w:rsidRPr="000B18D6">
        <w:t xml:space="preserve">Herbalife Nutrition Ltd.(米国) </w:t>
      </w:r>
    </w:p>
    <w:p w14:paraId="7942158D" w14:textId="77777777" w:rsidR="000B18D6" w:rsidRPr="000B18D6" w:rsidRDefault="000B18D6" w:rsidP="000B18D6">
      <w:pPr>
        <w:pStyle w:val="ListParagraph"/>
        <w:numPr>
          <w:ilvl w:val="0"/>
          <w:numId w:val="2"/>
        </w:numPr>
      </w:pPr>
      <w:r w:rsidRPr="000B18D6">
        <w:t xml:space="preserve">Nature's Sunshine Products, Inc.(米国) </w:t>
      </w:r>
    </w:p>
    <w:p w14:paraId="7741AFB1" w14:textId="77777777" w:rsidR="000B18D6" w:rsidRPr="000B18D6" w:rsidRDefault="000B18D6" w:rsidP="000B18D6">
      <w:pPr>
        <w:pStyle w:val="ListParagraph"/>
        <w:numPr>
          <w:ilvl w:val="0"/>
          <w:numId w:val="2"/>
        </w:numPr>
      </w:pPr>
      <w:r w:rsidRPr="000B18D6">
        <w:t xml:space="preserve">Nu Skin Enterprises, Inc.(米国) </w:t>
      </w:r>
    </w:p>
    <w:p w14:paraId="2DFE01AD" w14:textId="77777777" w:rsidR="000B18D6" w:rsidRPr="000B18D6" w:rsidRDefault="000B18D6" w:rsidP="000B18D6">
      <w:pPr>
        <w:pStyle w:val="ListParagraph"/>
        <w:numPr>
          <w:ilvl w:val="0"/>
          <w:numId w:val="2"/>
        </w:numPr>
      </w:pPr>
      <w:r w:rsidRPr="000B18D6">
        <w:t xml:space="preserve">BASF SE (ドイツ) </w:t>
      </w:r>
    </w:p>
    <w:p w14:paraId="049324BD" w14:textId="77777777" w:rsidR="000B18D6" w:rsidRPr="000B18D6" w:rsidRDefault="000B18D6" w:rsidP="000B18D6">
      <w:pPr>
        <w:pStyle w:val="ListParagraph"/>
        <w:numPr>
          <w:ilvl w:val="0"/>
          <w:numId w:val="2"/>
        </w:numPr>
      </w:pPr>
      <w:r w:rsidRPr="000B18D6">
        <w:t xml:space="preserve">アーチャーダニエルズミッドランドカンパニー(ADM)(米国) </w:t>
      </w:r>
    </w:p>
    <w:p w14:paraId="1BF526CD" w14:textId="77777777" w:rsidR="000B18D6" w:rsidRPr="000B18D6" w:rsidRDefault="000B18D6" w:rsidP="000B18D6">
      <w:pPr>
        <w:pStyle w:val="ListParagraph"/>
        <w:numPr>
          <w:ilvl w:val="0"/>
          <w:numId w:val="2"/>
        </w:numPr>
      </w:pPr>
      <w:r w:rsidRPr="000B18D6">
        <w:t xml:space="preserve">DSM-Firmenich(スイス/オランダ) </w:t>
      </w:r>
    </w:p>
    <w:p w14:paraId="26DE4C88" w14:textId="77777777" w:rsidR="000B18D6" w:rsidRPr="000B18D6" w:rsidRDefault="000B18D6" w:rsidP="000B18D6">
      <w:pPr>
        <w:pStyle w:val="ListParagraph"/>
        <w:numPr>
          <w:ilvl w:val="0"/>
          <w:numId w:val="2"/>
        </w:numPr>
      </w:pPr>
      <w:r w:rsidRPr="000B18D6">
        <w:t xml:space="preserve">ユサナ・ヘルス・サイエンス社(米国) </w:t>
      </w:r>
    </w:p>
    <w:p w14:paraId="392AD0E1" w14:textId="77777777" w:rsidR="000B18D6" w:rsidRPr="000B18D6" w:rsidRDefault="000B18D6" w:rsidP="000B18D6">
      <w:pPr>
        <w:pStyle w:val="ListParagraph"/>
        <w:numPr>
          <w:ilvl w:val="0"/>
          <w:numId w:val="2"/>
        </w:numPr>
      </w:pPr>
      <w:r w:rsidRPr="000B18D6">
        <w:t xml:space="preserve">Jamieson Wellness Inc.(カナダ) </w:t>
      </w:r>
    </w:p>
    <w:p w14:paraId="3A9C088D" w14:textId="77777777" w:rsidR="000B18D6" w:rsidRPr="000B18D6" w:rsidRDefault="000B18D6" w:rsidP="000B18D6">
      <w:pPr>
        <w:pStyle w:val="ListParagraph"/>
        <w:numPr>
          <w:ilvl w:val="0"/>
          <w:numId w:val="2"/>
        </w:numPr>
      </w:pPr>
      <w:r w:rsidRPr="000B18D6">
        <w:t xml:space="preserve">Perrigo Company plc (アイルランド) </w:t>
      </w:r>
    </w:p>
    <w:p w14:paraId="0F00E7A3" w14:textId="77777777" w:rsidR="000B18D6" w:rsidRPr="000B18D6" w:rsidRDefault="000B18D6" w:rsidP="000B18D6">
      <w:pPr>
        <w:pStyle w:val="ListParagraph"/>
        <w:numPr>
          <w:ilvl w:val="0"/>
          <w:numId w:val="2"/>
        </w:numPr>
      </w:pPr>
      <w:r w:rsidRPr="000B18D6">
        <w:t xml:space="preserve">International Flavors &amp; Fragrances Inc. (IFF) (米国) </w:t>
      </w:r>
    </w:p>
    <w:p w14:paraId="30C30699" w14:textId="77777777" w:rsidR="000B18D6" w:rsidRPr="000B18D6" w:rsidRDefault="000B18D6" w:rsidP="000B18D6">
      <w:pPr>
        <w:pStyle w:val="ListParagraph"/>
        <w:numPr>
          <w:ilvl w:val="0"/>
          <w:numId w:val="2"/>
        </w:numPr>
      </w:pPr>
      <w:r w:rsidRPr="000B18D6">
        <w:t xml:space="preserve">ヤクルト本社株式会社(日本) </w:t>
      </w:r>
    </w:p>
    <w:p w14:paraId="44E0DFC4" w14:textId="77777777" w:rsidR="000B18D6" w:rsidRPr="000B18D6" w:rsidRDefault="000B18D6" w:rsidP="000B18D6">
      <w:pPr>
        <w:pStyle w:val="ListParagraph"/>
        <w:numPr>
          <w:ilvl w:val="0"/>
          <w:numId w:val="2"/>
        </w:numPr>
      </w:pPr>
      <w:r w:rsidRPr="000B18D6">
        <w:t xml:space="preserve">株式会社Meiji Holdings (東京都) </w:t>
      </w:r>
    </w:p>
    <w:p w14:paraId="0D2BDC1E" w14:textId="77777777" w:rsidR="000B18D6" w:rsidRPr="000B18D6" w:rsidRDefault="000B18D6" w:rsidP="000B18D6">
      <w:pPr>
        <w:pStyle w:val="ListParagraph"/>
        <w:numPr>
          <w:ilvl w:val="0"/>
          <w:numId w:val="2"/>
        </w:numPr>
      </w:pPr>
      <w:r w:rsidRPr="000B18D6">
        <w:t>Tate &amp; Lyle PLC (イギリス)</w:t>
      </w:r>
    </w:p>
    <w:p w14:paraId="16EC225D" w14:textId="0A010CCE" w:rsidR="000B18D6" w:rsidRPr="000B18D6" w:rsidRDefault="000B18D6" w:rsidP="000B18D6">
      <w:r w:rsidRPr="000B18D6">
        <w:t xml:space="preserve">今すぐ購入して、貴重な洞察で最新情報を入手してください: </w:t>
      </w:r>
      <w:hyperlink r:id="rId7" w:history="1">
        <w:r w:rsidRPr="00465499">
          <w:rPr>
            <w:rStyle w:val="Hyperlink"/>
          </w:rPr>
          <w:t>https://www.skyquestt.com/buy-now/dietary-supplements-market</w:t>
        </w:r>
      </w:hyperlink>
      <w:r>
        <w:t xml:space="preserve"> </w:t>
      </w:r>
    </w:p>
    <w:p w14:paraId="0AFE8EDD" w14:textId="2153623A" w:rsidR="000B18D6" w:rsidRPr="000B18D6" w:rsidRDefault="000B18D6" w:rsidP="000B18D6">
      <w:pPr>
        <w:rPr>
          <w:b/>
          <w:bCs/>
        </w:rPr>
      </w:pPr>
      <w:r w:rsidRPr="000B18D6">
        <w:rPr>
          <w:b/>
          <w:bCs/>
        </w:rPr>
        <w:t>課題と機会:</w:t>
      </w:r>
    </w:p>
    <w:p w14:paraId="62BB69B5" w14:textId="77777777" w:rsidR="000B18D6" w:rsidRDefault="000B18D6" w:rsidP="000B18D6">
      <w:r w:rsidRPr="000B18D6">
        <w:t>市場は大きな可能性を秘めていますが</w:t>
      </w:r>
      <w:r w:rsidRPr="000B18D6">
        <w:rPr>
          <w:b/>
          <w:bCs/>
        </w:rPr>
        <w:t>、規制上のハードル、偽造品、標準化の欠如などの課題に直面しています</w:t>
      </w:r>
      <w:r w:rsidRPr="000B18D6">
        <w:t>。しかし</w:t>
      </w:r>
      <w:r w:rsidRPr="000B18D6">
        <w:rPr>
          <w:b/>
          <w:bCs/>
        </w:rPr>
        <w:t>、クリーンラベル製品、臨床検証、透明性の高い調達がますます重視されるようになったことで、</w:t>
      </w:r>
      <w:r w:rsidRPr="000B18D6">
        <w:t>イノベーションの有望な機会がもたらされています。</w:t>
      </w:r>
    </w:p>
    <w:p w14:paraId="69D1FEC2" w14:textId="3D656CDE" w:rsidR="000B18D6" w:rsidRPr="000B18D6" w:rsidRDefault="000B18D6" w:rsidP="000B18D6">
      <w:r w:rsidRPr="000B18D6">
        <w:t xml:space="preserve">レポート全文は、以下のURLからご覧いただけます </w:t>
      </w:r>
      <w:hyperlink r:id="rId8" w:history="1">
        <w:r w:rsidR="000F560B" w:rsidRPr="00465499">
          <w:rPr>
            <w:rStyle w:val="Hyperlink"/>
          </w:rPr>
          <w:t>https://www.skyquestt.com/report/dietary-supplements-market</w:t>
        </w:r>
      </w:hyperlink>
      <w:r w:rsidR="000F560B">
        <w:t xml:space="preserve"> </w:t>
      </w:r>
      <w:r w:rsidRPr="000B18D6">
        <w:t xml:space="preserve"> </w:t>
      </w:r>
      <w:hyperlink r:id="rId9" w:history="1"/>
      <w:r>
        <w:t xml:space="preserve"> </w:t>
      </w:r>
    </w:p>
    <w:p w14:paraId="2AEF4F54" w14:textId="075B7FB2" w:rsidR="004D40C5" w:rsidRDefault="004D40C5"/>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97EEF"/>
    <w:multiLevelType w:val="multilevel"/>
    <w:tmpl w:val="B746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2661D1"/>
    <w:multiLevelType w:val="hybridMultilevel"/>
    <w:tmpl w:val="D5CE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6366838">
    <w:abstractNumId w:val="0"/>
  </w:num>
  <w:num w:numId="2" w16cid:durableId="173155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8D6"/>
    <w:rsid w:val="000B18D6"/>
    <w:rsid w:val="000F560B"/>
    <w:rsid w:val="001D01DB"/>
    <w:rsid w:val="00274CDA"/>
    <w:rsid w:val="004D40C5"/>
    <w:rsid w:val="007877A2"/>
    <w:rsid w:val="00B354D8"/>
    <w:rsid w:val="00BB68BD"/>
    <w:rsid w:val="00C15B33"/>
    <w:rsid w:val="00D42F1C"/>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A8FC8"/>
  <w15:chartTrackingRefBased/>
  <w15:docId w15:val="{06EFC2EA-0D46-4237-B7A0-2C40BBE22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8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18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18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18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18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18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8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8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8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8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18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18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18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18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18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8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8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8D6"/>
    <w:rPr>
      <w:rFonts w:eastAsiaTheme="majorEastAsia" w:cstheme="majorBidi"/>
      <w:color w:val="272727" w:themeColor="text1" w:themeTint="D8"/>
    </w:rPr>
  </w:style>
  <w:style w:type="paragraph" w:styleId="Title">
    <w:name w:val="Title"/>
    <w:basedOn w:val="Normal"/>
    <w:next w:val="Normal"/>
    <w:link w:val="TitleChar"/>
    <w:uiPriority w:val="10"/>
    <w:qFormat/>
    <w:rsid w:val="000B18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8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8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8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8D6"/>
    <w:pPr>
      <w:spacing w:before="160"/>
      <w:jc w:val="center"/>
    </w:pPr>
    <w:rPr>
      <w:i/>
      <w:iCs/>
      <w:color w:val="404040" w:themeColor="text1" w:themeTint="BF"/>
    </w:rPr>
  </w:style>
  <w:style w:type="character" w:customStyle="1" w:styleId="QuoteChar">
    <w:name w:val="Quote Char"/>
    <w:basedOn w:val="DefaultParagraphFont"/>
    <w:link w:val="Quote"/>
    <w:uiPriority w:val="29"/>
    <w:rsid w:val="000B18D6"/>
    <w:rPr>
      <w:i/>
      <w:iCs/>
      <w:color w:val="404040" w:themeColor="text1" w:themeTint="BF"/>
    </w:rPr>
  </w:style>
  <w:style w:type="paragraph" w:styleId="ListParagraph">
    <w:name w:val="List Paragraph"/>
    <w:basedOn w:val="Normal"/>
    <w:uiPriority w:val="34"/>
    <w:qFormat/>
    <w:rsid w:val="000B18D6"/>
    <w:pPr>
      <w:ind w:left="720"/>
      <w:contextualSpacing/>
    </w:pPr>
  </w:style>
  <w:style w:type="character" w:styleId="IntenseEmphasis">
    <w:name w:val="Intense Emphasis"/>
    <w:basedOn w:val="DefaultParagraphFont"/>
    <w:uiPriority w:val="21"/>
    <w:qFormat/>
    <w:rsid w:val="000B18D6"/>
    <w:rPr>
      <w:i/>
      <w:iCs/>
      <w:color w:val="2F5496" w:themeColor="accent1" w:themeShade="BF"/>
    </w:rPr>
  </w:style>
  <w:style w:type="paragraph" w:styleId="IntenseQuote">
    <w:name w:val="Intense Quote"/>
    <w:basedOn w:val="Normal"/>
    <w:next w:val="Normal"/>
    <w:link w:val="IntenseQuoteChar"/>
    <w:uiPriority w:val="30"/>
    <w:qFormat/>
    <w:rsid w:val="000B18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18D6"/>
    <w:rPr>
      <w:i/>
      <w:iCs/>
      <w:color w:val="2F5496" w:themeColor="accent1" w:themeShade="BF"/>
    </w:rPr>
  </w:style>
  <w:style w:type="character" w:styleId="IntenseReference">
    <w:name w:val="Intense Reference"/>
    <w:basedOn w:val="DefaultParagraphFont"/>
    <w:uiPriority w:val="32"/>
    <w:qFormat/>
    <w:rsid w:val="000B18D6"/>
    <w:rPr>
      <w:b/>
      <w:bCs/>
      <w:smallCaps/>
      <w:color w:val="2F5496" w:themeColor="accent1" w:themeShade="BF"/>
      <w:spacing w:val="5"/>
    </w:rPr>
  </w:style>
  <w:style w:type="character" w:styleId="Hyperlink">
    <w:name w:val="Hyperlink"/>
    <w:basedOn w:val="DefaultParagraphFont"/>
    <w:uiPriority w:val="99"/>
    <w:unhideWhenUsed/>
    <w:rsid w:val="000B18D6"/>
    <w:rPr>
      <w:color w:val="0563C1" w:themeColor="hyperlink"/>
      <w:u w:val="single"/>
    </w:rPr>
  </w:style>
  <w:style w:type="character" w:styleId="UnresolvedMention">
    <w:name w:val="Unresolved Mention"/>
    <w:basedOn w:val="DefaultParagraphFont"/>
    <w:uiPriority w:val="99"/>
    <w:semiHidden/>
    <w:unhideWhenUsed/>
    <w:rsid w:val="000B18D6"/>
    <w:rPr>
      <w:color w:val="605E5C"/>
      <w:shd w:val="clear" w:color="auto" w:fill="E1DFDD"/>
    </w:rPr>
  </w:style>
  <w:style w:type="character" w:styleId="PlaceholderText">
    <w:name w:val="Placeholder Text"/>
    <w:basedOn w:val="DefaultParagraphFont"/>
    <w:uiPriority w:val="99"/>
    <w:semiHidden/>
    <w:rsid w:val="00D42F1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935570">
      <w:bodyDiv w:val="1"/>
      <w:marLeft w:val="0"/>
      <w:marRight w:val="0"/>
      <w:marTop w:val="0"/>
      <w:marBottom w:val="0"/>
      <w:divBdr>
        <w:top w:val="none" w:sz="0" w:space="0" w:color="auto"/>
        <w:left w:val="none" w:sz="0" w:space="0" w:color="auto"/>
        <w:bottom w:val="none" w:sz="0" w:space="0" w:color="auto"/>
        <w:right w:val="none" w:sz="0" w:space="0" w:color="auto"/>
      </w:divBdr>
    </w:div>
    <w:div w:id="157177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dietary-supplements-market" TargetMode="External"/><Relationship Id="rId3" Type="http://schemas.openxmlformats.org/officeDocument/2006/relationships/settings" Target="settings.xml"/><Relationship Id="rId7" Type="http://schemas.openxmlformats.org/officeDocument/2006/relationships/hyperlink" Target="https://www.skyquestt.com/buy-now/dietary-supplement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dietary-supplements-market" TargetMode="External"/><Relationship Id="rId11" Type="http://schemas.openxmlformats.org/officeDocument/2006/relationships/theme" Target="theme/theme1.xml"/><Relationship Id="rId5" Type="http://schemas.openxmlformats.org/officeDocument/2006/relationships/hyperlink" Target="https://www.skyquestt.com/sample-request/dietary-supplements-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kyquestt.com/report/dietary-supplements-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456</Words>
  <Characters>2603</Characters>
  <Application>Microsoft Office Word</Application>
  <DocSecurity>0</DocSecurity>
  <Lines>21</Lines>
  <Paragraphs>6</Paragraphs>
  <ScaleCrop>false</ScaleCrop>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2</cp:revision>
  <dcterms:created xsi:type="dcterms:W3CDTF">2025-04-14T13:10:00Z</dcterms:created>
  <dcterms:modified xsi:type="dcterms:W3CDTF">2025-04-14T13:22:00Z</dcterms:modified>
</cp:coreProperties>
</file>