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95BA" w14:textId="5368EC4B" w:rsidR="00334D71" w:rsidRPr="00334D71" w:rsidRDefault="00334D71" w:rsidP="00334D71">
      <w:pPr>
        <w:rPr>
          <w:b/>
          <w:bCs/>
        </w:rPr>
      </w:pPr>
      <w:r w:rsidRPr="00334D71">
        <w:rPr>
          <w:b/>
          <w:bCs/>
        </w:rPr>
        <w:t>プレシジョンメディシン市場は、ゲノミクス、AI、個別化医療の台頭により、2032年までに3,154億2,000万米ドルに達する見込み</w:t>
      </w:r>
    </w:p>
    <w:p w14:paraId="4A4441AD" w14:textId="37985FB7" w:rsidR="00334D71" w:rsidRDefault="00334D71" w:rsidP="00334D71">
      <w:r w:rsidRPr="00334D71">
        <w:t xml:space="preserve">プレシジョン・メディシンの基盤となる斬新なアイデアの1つは、同じ病気を持つ2人の個人が必ずしも物理的に反応する必要はないということです。しかし、患者の症状や住んでいる場所、そして遺伝子構成が影響を与える可能性があります。また、その疾患に対応する患者の能力は、医療専門家や研究者が必要な治療方針を計画するのに役立つ決定要因です。 </w:t>
      </w:r>
    </w:p>
    <w:p w14:paraId="7E544140" w14:textId="77777777" w:rsidR="00334D71" w:rsidRPr="00334D71" w:rsidRDefault="00334D71" w:rsidP="00334D71">
      <w:pPr>
        <w:rPr>
          <w:b/>
          <w:bCs/>
        </w:rPr>
      </w:pPr>
      <w:r w:rsidRPr="00334D71">
        <w:rPr>
          <w:b/>
          <w:bCs/>
        </w:rPr>
        <w:t>プレシジョンメディシンの市場規模は2023年に823億米ドルと評価され、2024年の955億5000万米ドルから2032年までに3154億2000万米ドルに成長し、予測期間(2025年から2032年)の間に16.1%のCAGRで成長する態勢を整えています。</w:t>
      </w:r>
    </w:p>
    <w:p w14:paraId="013C06A7" w14:textId="035D5AC0" w:rsidR="00334D71" w:rsidRPr="00334D71" w:rsidRDefault="00334D71" w:rsidP="00334D71">
      <w:r w:rsidRPr="00334D71">
        <w:t xml:space="preserve">今すぐ無料サンプルレポートを入手: </w:t>
      </w:r>
      <w:hyperlink r:id="rId5" w:history="1">
        <w:r w:rsidRPr="0097600E">
          <w:rPr>
            <w:rStyle w:val="Hyperlink"/>
          </w:rPr>
          <w:t>https://www.skyquestt.com/sample-request/precision-medicine-market</w:t>
        </w:r>
      </w:hyperlink>
      <w:r>
        <w:t xml:space="preserve"> </w:t>
      </w:r>
    </w:p>
    <w:p w14:paraId="59497299" w14:textId="59EA012D" w:rsidR="00334D71" w:rsidRPr="00334D71" w:rsidRDefault="00334D71" w:rsidP="00334D71">
      <w:pPr>
        <w:rPr>
          <w:b/>
          <w:bCs/>
        </w:rPr>
      </w:pPr>
      <w:r w:rsidRPr="00334D71">
        <w:rPr>
          <w:b/>
          <w:bCs/>
        </w:rPr>
        <w:t>主な成長ドライバー:</w:t>
      </w:r>
    </w:p>
    <w:p w14:paraId="71BE4B58" w14:textId="77777777" w:rsidR="00334D71" w:rsidRPr="00334D71" w:rsidRDefault="00334D71" w:rsidP="00334D71">
      <w:r w:rsidRPr="00334D71">
        <w:rPr>
          <w:b/>
          <w:bCs/>
        </w:rPr>
        <w:t>1. ゲノム技術の進歩:</w:t>
      </w:r>
      <w:r w:rsidRPr="00334D71">
        <w:br/>
        <w:t>次世代シーケンシング(NGS)とCRISPR遺伝子編集ツールのおかげで、ゲノムシーケンシングのコストは劇的に低下しました。この手頃な価格により、遺伝子検査はより身近なものになり、個別化治療と診断の成長が促進されています。</w:t>
      </w:r>
    </w:p>
    <w:p w14:paraId="2C5D6129" w14:textId="77777777" w:rsidR="00334D71" w:rsidRPr="00334D71" w:rsidRDefault="00334D71" w:rsidP="00334D71">
      <w:r w:rsidRPr="00334D71">
        <w:rPr>
          <w:b/>
          <w:bCs/>
        </w:rPr>
        <w:t>2.慢性疾患や複雑な疾患の負担の増加:</w:t>
      </w:r>
      <w:r w:rsidRPr="00334D71">
        <w:br/>
        <w:t>がん、糖尿病、心血管障害、神経疾患などの疾患は、精密な戦略を通じて治療されることが増えています。特に腫瘍領域は、腫瘍プロファイリングと標的薬物送達の成功により、依然として最大のアプリケーション領域です。</w:t>
      </w:r>
    </w:p>
    <w:p w14:paraId="156534D8" w14:textId="77777777" w:rsidR="00334D71" w:rsidRPr="00334D71" w:rsidRDefault="00334D71" w:rsidP="00334D71">
      <w:r w:rsidRPr="00334D71">
        <w:rPr>
          <w:b/>
          <w:bCs/>
        </w:rPr>
        <w:t>3. AIとビッグデータの統合:</w:t>
      </w:r>
      <w:r w:rsidRPr="00334D71">
        <w:br/>
        <w:t>AIと機械学習の統合は、臨床上の意思決定に革命をもたらしています。予測分析、リアルタイムのヘルスモニタリング、分子診断は、適切な患者に適切なタイミングで適切な治療法を特定するために合理化されています。</w:t>
      </w:r>
    </w:p>
    <w:p w14:paraId="66A8F8DD" w14:textId="77777777" w:rsidR="00334D71" w:rsidRPr="00334D71" w:rsidRDefault="00334D71" w:rsidP="00334D71">
      <w:r w:rsidRPr="00334D71">
        <w:rPr>
          <w:b/>
          <w:bCs/>
        </w:rPr>
        <w:t>4.予防的および個別化された医療への移行:</w:t>
      </w:r>
      <w:r w:rsidRPr="00334D71">
        <w:br/>
        <w:t>世界中の医療システムは、事後対応型治療から積極的、予測的、予防的モデルに移行しており、個別化された介入の需要を生み出しています。</w:t>
      </w:r>
    </w:p>
    <w:p w14:paraId="3459739E" w14:textId="1C5DD70A" w:rsidR="00334D71" w:rsidRPr="00334D71" w:rsidRDefault="00334D71" w:rsidP="00334D71">
      <w:r w:rsidRPr="00334D71">
        <w:rPr>
          <w:b/>
          <w:bCs/>
        </w:rPr>
        <w:t>5. 戦略的提携と研究資金:</w:t>
      </w:r>
      <w:r w:rsidRPr="00334D71">
        <w:br/>
        <w:t>製薬会社、診断会社、テクノロジープロバイダー間のパートナーシップの増加により、研究開発が加速しており、ゲノムデータベースやバイオバンクなどの精密医療インフラへの政府および民間の投資も重要な役割を果たしています。</w:t>
      </w:r>
    </w:p>
    <w:p w14:paraId="66B5513C" w14:textId="77777777" w:rsidR="00334D71" w:rsidRPr="00334D71" w:rsidRDefault="00334D71" w:rsidP="00334D71">
      <w:pPr>
        <w:rPr>
          <w:b/>
          <w:bCs/>
        </w:rPr>
      </w:pPr>
      <w:r w:rsidRPr="00334D71">
        <w:rPr>
          <w:b/>
          <w:bCs/>
        </w:rPr>
        <w:lastRenderedPageBreak/>
        <w:t>市場セグメンテーション:</w:t>
      </w:r>
    </w:p>
    <w:p w14:paraId="54FA46A8" w14:textId="77777777" w:rsidR="00334D71" w:rsidRPr="00334D71" w:rsidRDefault="00334D71" w:rsidP="00334D71">
      <w:pPr>
        <w:numPr>
          <w:ilvl w:val="0"/>
          <w:numId w:val="1"/>
        </w:numPr>
      </w:pPr>
      <w:r w:rsidRPr="00334D71">
        <w:rPr>
          <w:b/>
          <w:bCs/>
        </w:rPr>
        <w:t>テクノロジー別:</w:t>
      </w:r>
      <w:r w:rsidRPr="00334D71">
        <w:t xml:space="preserve"> ゲノミクス、バイオインフォマティクス、ファーマコゲノミクス、コンパニオン診断、精密イメージング</w:t>
      </w:r>
    </w:p>
    <w:p w14:paraId="20758F66" w14:textId="77777777" w:rsidR="00334D71" w:rsidRPr="00334D71" w:rsidRDefault="00334D71" w:rsidP="00334D71">
      <w:pPr>
        <w:numPr>
          <w:ilvl w:val="0"/>
          <w:numId w:val="1"/>
        </w:numPr>
      </w:pPr>
      <w:r w:rsidRPr="00334D71">
        <w:rPr>
          <w:b/>
          <w:bCs/>
        </w:rPr>
        <w:t>アプリケーション別:</w:t>
      </w:r>
      <w:r w:rsidRPr="00334D71">
        <w:t xml:space="preserve"> 腫瘍学、心血管、中枢神経系障害、感染症、呼吸器疾患、希少疾患</w:t>
      </w:r>
    </w:p>
    <w:p w14:paraId="14156043" w14:textId="7D2478B4" w:rsidR="00334D71" w:rsidRPr="00334D71" w:rsidRDefault="00334D71" w:rsidP="00334D71">
      <w:pPr>
        <w:numPr>
          <w:ilvl w:val="0"/>
          <w:numId w:val="1"/>
        </w:numPr>
      </w:pPr>
      <w:r w:rsidRPr="00334D71">
        <w:rPr>
          <w:b/>
          <w:bCs/>
        </w:rPr>
        <w:t>エンドユーザー別:</w:t>
      </w:r>
      <w:r w:rsidRPr="00334D71">
        <w:t xml:space="preserve"> 病院、研究センター、診断研究所、製薬会社</w:t>
      </w:r>
    </w:p>
    <w:p w14:paraId="22F3FA28" w14:textId="2E2D545E" w:rsidR="00334D71" w:rsidRPr="00334D71" w:rsidRDefault="00334D71" w:rsidP="00334D71">
      <w:proofErr w:type="spellStart"/>
      <w:r w:rsidRPr="00334D71">
        <w:t>カスタマイズされたレポートについては、パーソナライゼーションをリクエストするためにお問い合わせください</w:t>
      </w:r>
      <w:proofErr w:type="spellEnd"/>
      <w:r w:rsidRPr="00334D71">
        <w:t>:</w:t>
      </w:r>
      <w:r w:rsidR="000B5909">
        <w:t xml:space="preserve"> </w:t>
      </w:r>
      <w:r w:rsidRPr="00334D71">
        <w:t>https://www.skyquestt.com/speak-with-analyst/precision-medicine-market</w:t>
      </w:r>
      <w:r w:rsidR="000B5909">
        <w:t xml:space="preserve"> </w:t>
      </w:r>
      <w:r w:rsidRPr="00334D71">
        <w:t xml:space="preserve"> </w:t>
      </w:r>
      <w:hyperlink r:id="rId6" w:history="1"/>
      <w:r w:rsidRPr="00334D71">
        <w:t xml:space="preserve"> </w:t>
      </w:r>
    </w:p>
    <w:p w14:paraId="131AA3BD" w14:textId="15E590E2" w:rsidR="00334D71" w:rsidRPr="00334D71" w:rsidRDefault="00334D71" w:rsidP="00334D71">
      <w:pPr>
        <w:rPr>
          <w:b/>
          <w:bCs/>
        </w:rPr>
      </w:pPr>
      <w:r w:rsidRPr="00334D71">
        <w:rPr>
          <w:b/>
          <w:bCs/>
        </w:rPr>
        <w:t>地域別インサイト:</w:t>
      </w:r>
    </w:p>
    <w:p w14:paraId="00084263" w14:textId="77777777" w:rsidR="00334D71" w:rsidRPr="00334D71" w:rsidRDefault="00334D71" w:rsidP="00334D71">
      <w:r w:rsidRPr="00334D71">
        <w:rPr>
          <w:b/>
          <w:bCs/>
        </w:rPr>
        <w:t>北米</w:t>
      </w:r>
      <w:r w:rsidRPr="00334D71">
        <w:t xml:space="preserve"> は、高度な医療技術の早期採用、広範なゲノミクスインフラストラクチャ、および強力な規制サポートにより、世界市場を支配しています。U.S. Precision Medicine Initiativeは、ゲノム研究と臨床応用を推進してきました。</w:t>
      </w:r>
    </w:p>
    <w:p w14:paraId="64CD58B3" w14:textId="68D7B5AE" w:rsidR="00334D71" w:rsidRPr="00334D71" w:rsidRDefault="00334D71" w:rsidP="00334D71">
      <w:r w:rsidRPr="00334D71">
        <w:rPr>
          <w:b/>
          <w:bCs/>
        </w:rPr>
        <w:t>アジア太平洋地域</w:t>
      </w:r>
      <w:r w:rsidRPr="00334D71">
        <w:t xml:space="preserve"> は、医療費の増加、患者人口の増加、中国、日本、韓国、インドなどの国々での政府の支援に牽引され、最も急速に成長している地域として浮上しています。多くのアジア諸国は、医療の未来に飛躍するために、ポピュレーションゲノミクスとAIベースの診断に投資しています。</w:t>
      </w:r>
    </w:p>
    <w:p w14:paraId="657427F3" w14:textId="77777777" w:rsidR="00334D71" w:rsidRPr="00334D71" w:rsidRDefault="00334D71" w:rsidP="00334D71">
      <w:pPr>
        <w:rPr>
          <w:b/>
          <w:bCs/>
        </w:rPr>
      </w:pPr>
      <w:r w:rsidRPr="00334D71">
        <w:rPr>
          <w:b/>
          <w:bCs/>
        </w:rPr>
        <w:t>プレシジョンメディシン市場のトッププレーヤー</w:t>
      </w:r>
    </w:p>
    <w:p w14:paraId="342D8EE3" w14:textId="77777777" w:rsidR="00334D71" w:rsidRPr="00334D71" w:rsidRDefault="00334D71" w:rsidP="00334D71">
      <w:pPr>
        <w:pStyle w:val="ListParagraph"/>
        <w:numPr>
          <w:ilvl w:val="0"/>
          <w:numId w:val="4"/>
        </w:numPr>
      </w:pPr>
      <w:r w:rsidRPr="00334D71">
        <w:t>Hoffmann-La Roche Ltd.(スイス)</w:t>
      </w:r>
    </w:p>
    <w:p w14:paraId="52CF6CBC" w14:textId="77777777" w:rsidR="00334D71" w:rsidRPr="00334D71" w:rsidRDefault="00334D71" w:rsidP="00334D71">
      <w:pPr>
        <w:pStyle w:val="ListParagraph"/>
        <w:numPr>
          <w:ilvl w:val="0"/>
          <w:numId w:val="4"/>
        </w:numPr>
      </w:pPr>
      <w:r w:rsidRPr="00334D71">
        <w:t xml:space="preserve">Novartis AG (スイス) </w:t>
      </w:r>
    </w:p>
    <w:p w14:paraId="7A8B5311" w14:textId="77777777" w:rsidR="00334D71" w:rsidRPr="00334D71" w:rsidRDefault="00334D71" w:rsidP="00334D71">
      <w:pPr>
        <w:pStyle w:val="ListParagraph"/>
        <w:numPr>
          <w:ilvl w:val="0"/>
          <w:numId w:val="4"/>
        </w:numPr>
      </w:pPr>
      <w:r w:rsidRPr="00334D71">
        <w:t xml:space="preserve">ファイザー社(米国) </w:t>
      </w:r>
    </w:p>
    <w:p w14:paraId="4DFEAD29" w14:textId="77777777" w:rsidR="00334D71" w:rsidRPr="00334D71" w:rsidRDefault="00334D71" w:rsidP="00334D71">
      <w:pPr>
        <w:pStyle w:val="ListParagraph"/>
        <w:numPr>
          <w:ilvl w:val="0"/>
          <w:numId w:val="4"/>
        </w:numPr>
      </w:pPr>
      <w:r w:rsidRPr="00334D71">
        <w:t xml:space="preserve">ブリストル マイヤーズ スクイブ (米国) </w:t>
      </w:r>
    </w:p>
    <w:p w14:paraId="3E45CCA5" w14:textId="77777777" w:rsidR="00334D71" w:rsidRPr="00334D71" w:rsidRDefault="00334D71" w:rsidP="00334D71">
      <w:pPr>
        <w:pStyle w:val="ListParagraph"/>
        <w:numPr>
          <w:ilvl w:val="0"/>
          <w:numId w:val="4"/>
        </w:numPr>
      </w:pPr>
      <w:r w:rsidRPr="00334D71">
        <w:t xml:space="preserve">アストラゼネカ(英国) </w:t>
      </w:r>
    </w:p>
    <w:p w14:paraId="16C8AC1D" w14:textId="77777777" w:rsidR="00334D71" w:rsidRPr="00334D71" w:rsidRDefault="00334D71" w:rsidP="00334D71">
      <w:pPr>
        <w:pStyle w:val="ListParagraph"/>
        <w:numPr>
          <w:ilvl w:val="0"/>
          <w:numId w:val="4"/>
        </w:numPr>
      </w:pPr>
      <w:r w:rsidRPr="00334D71">
        <w:t xml:space="preserve">Almac Group Ltd.(イギリス) </w:t>
      </w:r>
    </w:p>
    <w:p w14:paraId="2B7F83AB" w14:textId="77777777" w:rsidR="00334D71" w:rsidRPr="00334D71" w:rsidRDefault="00334D71" w:rsidP="00334D71">
      <w:pPr>
        <w:pStyle w:val="ListParagraph"/>
        <w:numPr>
          <w:ilvl w:val="0"/>
          <w:numId w:val="4"/>
        </w:numPr>
      </w:pPr>
      <w:r w:rsidRPr="00334D71">
        <w:t xml:space="preserve">ギリアド・サイエンシズ社(米国) </w:t>
      </w:r>
    </w:p>
    <w:p w14:paraId="55EAF443" w14:textId="77777777" w:rsidR="00334D71" w:rsidRPr="00334D71" w:rsidRDefault="00334D71" w:rsidP="00334D71">
      <w:pPr>
        <w:pStyle w:val="ListParagraph"/>
        <w:numPr>
          <w:ilvl w:val="0"/>
          <w:numId w:val="4"/>
        </w:numPr>
      </w:pPr>
      <w:r w:rsidRPr="00334D71">
        <w:t xml:space="preserve">AbbVie Inc.(米国) </w:t>
      </w:r>
    </w:p>
    <w:p w14:paraId="31A99092" w14:textId="77777777" w:rsidR="00334D71" w:rsidRPr="00334D71" w:rsidRDefault="00334D71" w:rsidP="00334D71">
      <w:pPr>
        <w:pStyle w:val="ListParagraph"/>
        <w:numPr>
          <w:ilvl w:val="0"/>
          <w:numId w:val="4"/>
        </w:numPr>
      </w:pPr>
      <w:r w:rsidRPr="00334D71">
        <w:t xml:space="preserve">イーライリリー・アンド・カンパニー(米国) </w:t>
      </w:r>
    </w:p>
    <w:p w14:paraId="511C0FE6" w14:textId="77777777" w:rsidR="00334D71" w:rsidRPr="00334D71" w:rsidRDefault="00334D71" w:rsidP="00334D71">
      <w:pPr>
        <w:pStyle w:val="ListParagraph"/>
        <w:numPr>
          <w:ilvl w:val="0"/>
          <w:numId w:val="4"/>
        </w:numPr>
      </w:pPr>
      <w:r w:rsidRPr="00334D71">
        <w:t xml:space="preserve">グラクソ・スミスクラインplc(英国) </w:t>
      </w:r>
    </w:p>
    <w:p w14:paraId="3C9AC2BF" w14:textId="77777777" w:rsidR="00334D71" w:rsidRPr="00334D71" w:rsidRDefault="00334D71" w:rsidP="00334D71">
      <w:pPr>
        <w:pStyle w:val="ListParagraph"/>
        <w:numPr>
          <w:ilvl w:val="0"/>
          <w:numId w:val="4"/>
        </w:numPr>
      </w:pPr>
      <w:r w:rsidRPr="00334D71">
        <w:t xml:space="preserve">Ab-Biotics Sa (米国) </w:t>
      </w:r>
    </w:p>
    <w:p w14:paraId="182DEB36" w14:textId="77777777" w:rsidR="00334D71" w:rsidRPr="00334D71" w:rsidRDefault="00334D71" w:rsidP="00334D71">
      <w:pPr>
        <w:pStyle w:val="ListParagraph"/>
        <w:numPr>
          <w:ilvl w:val="0"/>
          <w:numId w:val="4"/>
        </w:numPr>
      </w:pPr>
      <w:r w:rsidRPr="00334D71">
        <w:t xml:space="preserve">ジョンソン・エンド・ジョンソン (米国) </w:t>
      </w:r>
    </w:p>
    <w:p w14:paraId="34A53795" w14:textId="77777777" w:rsidR="00334D71" w:rsidRPr="00334D71" w:rsidRDefault="00334D71" w:rsidP="00334D71">
      <w:pPr>
        <w:pStyle w:val="ListParagraph"/>
        <w:numPr>
          <w:ilvl w:val="0"/>
          <w:numId w:val="4"/>
        </w:numPr>
      </w:pPr>
      <w:r w:rsidRPr="00334D71">
        <w:t xml:space="preserve">Merck KGaA (ドイツ) </w:t>
      </w:r>
    </w:p>
    <w:p w14:paraId="09BA3292" w14:textId="77777777" w:rsidR="00334D71" w:rsidRPr="00334D71" w:rsidRDefault="00334D71" w:rsidP="00334D71">
      <w:pPr>
        <w:pStyle w:val="ListParagraph"/>
        <w:numPr>
          <w:ilvl w:val="0"/>
          <w:numId w:val="4"/>
        </w:numPr>
      </w:pPr>
      <w:r w:rsidRPr="00334D71">
        <w:t>Amgen, Inc.(米国)</w:t>
      </w:r>
    </w:p>
    <w:p w14:paraId="454A9F60" w14:textId="0500C60A" w:rsidR="00334D71" w:rsidRPr="00334D71" w:rsidRDefault="00334D71" w:rsidP="00334D71">
      <w:r w:rsidRPr="00334D71">
        <w:lastRenderedPageBreak/>
        <w:t>これらのプレーヤーは、戦略的提携、製品イノベーション、精密診断の拡大に注力し、市場での地位を確固たるものにしています。</w:t>
      </w:r>
    </w:p>
    <w:p w14:paraId="5AD0F79F" w14:textId="77777777" w:rsidR="00334D71" w:rsidRPr="00334D71" w:rsidRDefault="00334D71" w:rsidP="00334D71">
      <w:pPr>
        <w:rPr>
          <w:b/>
          <w:bCs/>
        </w:rPr>
      </w:pPr>
      <w:r w:rsidRPr="00334D71">
        <w:rPr>
          <w:b/>
          <w:bCs/>
        </w:rPr>
        <w:t>課題と機会:</w:t>
      </w:r>
    </w:p>
    <w:p w14:paraId="1DB86F1F" w14:textId="77777777" w:rsidR="00334D71" w:rsidRPr="00334D71" w:rsidRDefault="00334D71" w:rsidP="00334D71">
      <w:r w:rsidRPr="00334D71">
        <w:t>将来は有望ですが、プレシジョンメディシン市場は次のようないくつかの課題に直面しています。</w:t>
      </w:r>
    </w:p>
    <w:p w14:paraId="478BC25E" w14:textId="77777777" w:rsidR="00334D71" w:rsidRPr="00334D71" w:rsidRDefault="00334D71" w:rsidP="00334D71">
      <w:pPr>
        <w:numPr>
          <w:ilvl w:val="0"/>
          <w:numId w:val="3"/>
        </w:numPr>
      </w:pPr>
      <w:r w:rsidRPr="00334D71">
        <w:rPr>
          <w:b/>
          <w:bCs/>
        </w:rPr>
        <w:t xml:space="preserve"> ゲノムデータの取り扱いにおける</w:t>
      </w:r>
      <w:r w:rsidRPr="00334D71">
        <w:t>データセキュリティと患者のプライバシーに関する懸念</w:t>
      </w:r>
    </w:p>
    <w:p w14:paraId="57AC5C46" w14:textId="77777777" w:rsidR="00334D71" w:rsidRPr="00334D71" w:rsidRDefault="00334D71" w:rsidP="00334D71">
      <w:pPr>
        <w:numPr>
          <w:ilvl w:val="0"/>
          <w:numId w:val="3"/>
        </w:numPr>
      </w:pPr>
      <w:r w:rsidRPr="00334D71">
        <w:rPr>
          <w:b/>
          <w:bCs/>
        </w:rPr>
        <w:t>特に低・中所得国における</w:t>
      </w:r>
      <w:r w:rsidRPr="00334D71">
        <w:t>導入コストが高い</w:t>
      </w:r>
    </w:p>
    <w:p w14:paraId="0A5CD841" w14:textId="77777777" w:rsidR="00334D71" w:rsidRPr="00334D71" w:rsidRDefault="00334D71" w:rsidP="00334D71">
      <w:pPr>
        <w:numPr>
          <w:ilvl w:val="0"/>
          <w:numId w:val="3"/>
        </w:numPr>
      </w:pPr>
      <w:r w:rsidRPr="00334D71">
        <w:rPr>
          <w:b/>
          <w:bCs/>
        </w:rPr>
        <w:t xml:space="preserve"> 異なる医療データシステム間の</w:t>
      </w:r>
      <w:r w:rsidRPr="00334D71">
        <w:t>相互運用性の問題</w:t>
      </w:r>
    </w:p>
    <w:p w14:paraId="26E0DB87" w14:textId="77777777" w:rsidR="00334D71" w:rsidRPr="00334D71" w:rsidRDefault="00334D71" w:rsidP="00334D71">
      <w:pPr>
        <w:numPr>
          <w:ilvl w:val="0"/>
          <w:numId w:val="3"/>
        </w:numPr>
      </w:pPr>
      <w:r w:rsidRPr="00334D71">
        <w:rPr>
          <w:b/>
          <w:bCs/>
        </w:rPr>
        <w:t xml:space="preserve"> 診断薬およびコンパニオンセラピーに関連する</w:t>
      </w:r>
      <w:r w:rsidRPr="00334D71">
        <w:t>規制の複雑さ</w:t>
      </w:r>
    </w:p>
    <w:p w14:paraId="4BE1ACB9" w14:textId="2DFD7609" w:rsidR="00334D71" w:rsidRPr="00334D71" w:rsidRDefault="00334D71" w:rsidP="00334D71">
      <w:r w:rsidRPr="00334D71">
        <w:t>しかし、エコシステムが成熟し、テクノロジーが拡大するにつれて、プレシジョン・メディシンは現代の医療の基盤となり、的を絞った効率的な介入を通じてコストを削減しながら、アウトカムを改善することが期待されています。</w:t>
      </w:r>
    </w:p>
    <w:p w14:paraId="6AF70CF5" w14:textId="5C28C8C2" w:rsidR="00334D71" w:rsidRDefault="00334D71" w:rsidP="00334D71">
      <w:pPr>
        <w:rPr>
          <w:b/>
          <w:bCs/>
        </w:rPr>
      </w:pPr>
      <w:r w:rsidRPr="00334D71">
        <w:rPr>
          <w:b/>
          <w:bCs/>
        </w:rPr>
        <w:t xml:space="preserve">レポート全文は、次のURLからアクセスできます </w:t>
      </w:r>
      <w:hyperlink r:id="rId7" w:history="1">
        <w:r w:rsidR="000B5909" w:rsidRPr="0097600E">
          <w:rPr>
            <w:rStyle w:val="Hyperlink"/>
            <w:b/>
            <w:bCs/>
          </w:rPr>
          <w:t>https://www.skyquestt.com/report/precision-medicine-market</w:t>
        </w:r>
      </w:hyperlink>
      <w:r w:rsidR="000B5909">
        <w:rPr>
          <w:b/>
          <w:bCs/>
        </w:rPr>
        <w:t xml:space="preserve"> </w:t>
      </w:r>
      <w:r w:rsidRPr="00334D71">
        <w:rPr>
          <w:b/>
          <w:bCs/>
        </w:rPr>
        <w:t xml:space="preserve"> </w:t>
      </w:r>
      <w:hyperlink r:id="rId8" w:history="1"/>
      <w:r>
        <w:rPr>
          <w:b/>
          <w:bCs/>
        </w:rPr>
        <w:t xml:space="preserve"> </w:t>
      </w:r>
    </w:p>
    <w:p w14:paraId="2BAC0C5A" w14:textId="32E3DF37" w:rsidR="00334D71" w:rsidRPr="00334D71" w:rsidRDefault="00334D71" w:rsidP="00334D71">
      <w:pPr>
        <w:rPr>
          <w:b/>
          <w:bCs/>
        </w:rPr>
      </w:pPr>
      <w:r w:rsidRPr="00334D71">
        <w:rPr>
          <w:b/>
          <w:bCs/>
        </w:rPr>
        <w:t>SkyQuest Technologyについて:</w:t>
      </w:r>
    </w:p>
    <w:p w14:paraId="1B15553C" w14:textId="75262511" w:rsidR="00334D71" w:rsidRPr="00334D71" w:rsidRDefault="00334D71" w:rsidP="00334D71">
      <w:r w:rsidRPr="00334D71">
        <w:rPr>
          <w:b/>
          <w:bCs/>
        </w:rPr>
        <w:t>SkyQuest</w:t>
      </w:r>
      <w:r w:rsidRPr="00334D71">
        <w:t xml:space="preserve"> は、データ駆動型の市場調査を通じて実用的な洞察を提供する大手成長アドバイザリー会社です。ヘルスケア、バイオテクノロジー、ライフサイエンス、新興技術に関する深い専門知識を持つSkyQuestは、クライアントが情報に基づいた戦略的意思決定を行えるようサポートします。</w:t>
      </w:r>
    </w:p>
    <w:sectPr w:rsidR="00334D71" w:rsidRPr="00334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882"/>
    <w:multiLevelType w:val="multilevel"/>
    <w:tmpl w:val="109A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6364C"/>
    <w:multiLevelType w:val="multilevel"/>
    <w:tmpl w:val="76D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04E65"/>
    <w:multiLevelType w:val="hybridMultilevel"/>
    <w:tmpl w:val="7414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D3465"/>
    <w:multiLevelType w:val="multilevel"/>
    <w:tmpl w:val="75D4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667144">
    <w:abstractNumId w:val="0"/>
  </w:num>
  <w:num w:numId="2" w16cid:durableId="421218344">
    <w:abstractNumId w:val="1"/>
  </w:num>
  <w:num w:numId="3" w16cid:durableId="196816492">
    <w:abstractNumId w:val="3"/>
  </w:num>
  <w:num w:numId="4" w16cid:durableId="283778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71"/>
    <w:rsid w:val="000B5909"/>
    <w:rsid w:val="001D01DB"/>
    <w:rsid w:val="00274CDA"/>
    <w:rsid w:val="00334D71"/>
    <w:rsid w:val="004D40C5"/>
    <w:rsid w:val="00860C7D"/>
    <w:rsid w:val="00B354D8"/>
    <w:rsid w:val="00BB68BD"/>
    <w:rsid w:val="00C15B33"/>
    <w:rsid w:val="00C95671"/>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C856"/>
  <w15:chartTrackingRefBased/>
  <w15:docId w15:val="{02984A85-F644-410D-97B4-26BF9CFD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D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D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D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D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D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D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D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D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D71"/>
    <w:rPr>
      <w:rFonts w:eastAsiaTheme="majorEastAsia" w:cstheme="majorBidi"/>
      <w:color w:val="272727" w:themeColor="text1" w:themeTint="D8"/>
    </w:rPr>
  </w:style>
  <w:style w:type="paragraph" w:styleId="Title">
    <w:name w:val="Title"/>
    <w:basedOn w:val="Normal"/>
    <w:next w:val="Normal"/>
    <w:link w:val="TitleChar"/>
    <w:uiPriority w:val="10"/>
    <w:qFormat/>
    <w:rsid w:val="00334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D71"/>
    <w:pPr>
      <w:spacing w:before="160"/>
      <w:jc w:val="center"/>
    </w:pPr>
    <w:rPr>
      <w:i/>
      <w:iCs/>
      <w:color w:val="404040" w:themeColor="text1" w:themeTint="BF"/>
    </w:rPr>
  </w:style>
  <w:style w:type="character" w:customStyle="1" w:styleId="QuoteChar">
    <w:name w:val="Quote Char"/>
    <w:basedOn w:val="DefaultParagraphFont"/>
    <w:link w:val="Quote"/>
    <w:uiPriority w:val="29"/>
    <w:rsid w:val="00334D71"/>
    <w:rPr>
      <w:i/>
      <w:iCs/>
      <w:color w:val="404040" w:themeColor="text1" w:themeTint="BF"/>
    </w:rPr>
  </w:style>
  <w:style w:type="paragraph" w:styleId="ListParagraph">
    <w:name w:val="List Paragraph"/>
    <w:basedOn w:val="Normal"/>
    <w:uiPriority w:val="34"/>
    <w:qFormat/>
    <w:rsid w:val="00334D71"/>
    <w:pPr>
      <w:ind w:left="720"/>
      <w:contextualSpacing/>
    </w:pPr>
  </w:style>
  <w:style w:type="character" w:styleId="IntenseEmphasis">
    <w:name w:val="Intense Emphasis"/>
    <w:basedOn w:val="DefaultParagraphFont"/>
    <w:uiPriority w:val="21"/>
    <w:qFormat/>
    <w:rsid w:val="00334D71"/>
    <w:rPr>
      <w:i/>
      <w:iCs/>
      <w:color w:val="2F5496" w:themeColor="accent1" w:themeShade="BF"/>
    </w:rPr>
  </w:style>
  <w:style w:type="paragraph" w:styleId="IntenseQuote">
    <w:name w:val="Intense Quote"/>
    <w:basedOn w:val="Normal"/>
    <w:next w:val="Normal"/>
    <w:link w:val="IntenseQuoteChar"/>
    <w:uiPriority w:val="30"/>
    <w:qFormat/>
    <w:rsid w:val="00334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D71"/>
    <w:rPr>
      <w:i/>
      <w:iCs/>
      <w:color w:val="2F5496" w:themeColor="accent1" w:themeShade="BF"/>
    </w:rPr>
  </w:style>
  <w:style w:type="character" w:styleId="IntenseReference">
    <w:name w:val="Intense Reference"/>
    <w:basedOn w:val="DefaultParagraphFont"/>
    <w:uiPriority w:val="32"/>
    <w:qFormat/>
    <w:rsid w:val="00334D71"/>
    <w:rPr>
      <w:b/>
      <w:bCs/>
      <w:smallCaps/>
      <w:color w:val="2F5496" w:themeColor="accent1" w:themeShade="BF"/>
      <w:spacing w:val="5"/>
    </w:rPr>
  </w:style>
  <w:style w:type="character" w:styleId="Hyperlink">
    <w:name w:val="Hyperlink"/>
    <w:basedOn w:val="DefaultParagraphFont"/>
    <w:uiPriority w:val="99"/>
    <w:unhideWhenUsed/>
    <w:rsid w:val="00334D71"/>
    <w:rPr>
      <w:color w:val="0563C1" w:themeColor="hyperlink"/>
      <w:u w:val="single"/>
    </w:rPr>
  </w:style>
  <w:style w:type="character" w:styleId="UnresolvedMention">
    <w:name w:val="Unresolved Mention"/>
    <w:basedOn w:val="DefaultParagraphFont"/>
    <w:uiPriority w:val="99"/>
    <w:semiHidden/>
    <w:unhideWhenUsed/>
    <w:rsid w:val="00334D71"/>
    <w:rPr>
      <w:color w:val="605E5C"/>
      <w:shd w:val="clear" w:color="auto" w:fill="E1DFDD"/>
    </w:rPr>
  </w:style>
  <w:style w:type="character" w:styleId="PlaceholderText">
    <w:name w:val="Placeholder Text"/>
    <w:basedOn w:val="DefaultParagraphFont"/>
    <w:uiPriority w:val="99"/>
    <w:semiHidden/>
    <w:rsid w:val="00860C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0995">
      <w:bodyDiv w:val="1"/>
      <w:marLeft w:val="0"/>
      <w:marRight w:val="0"/>
      <w:marTop w:val="0"/>
      <w:marBottom w:val="0"/>
      <w:divBdr>
        <w:top w:val="none" w:sz="0" w:space="0" w:color="auto"/>
        <w:left w:val="none" w:sz="0" w:space="0" w:color="auto"/>
        <w:bottom w:val="none" w:sz="0" w:space="0" w:color="auto"/>
        <w:right w:val="none" w:sz="0" w:space="0" w:color="auto"/>
      </w:divBdr>
    </w:div>
    <w:div w:id="569115160">
      <w:bodyDiv w:val="1"/>
      <w:marLeft w:val="0"/>
      <w:marRight w:val="0"/>
      <w:marTop w:val="0"/>
      <w:marBottom w:val="0"/>
      <w:divBdr>
        <w:top w:val="none" w:sz="0" w:space="0" w:color="auto"/>
        <w:left w:val="none" w:sz="0" w:space="0" w:color="auto"/>
        <w:bottom w:val="none" w:sz="0" w:space="0" w:color="auto"/>
        <w:right w:val="none" w:sz="0" w:space="0" w:color="auto"/>
      </w:divBdr>
    </w:div>
    <w:div w:id="857499678">
      <w:bodyDiv w:val="1"/>
      <w:marLeft w:val="0"/>
      <w:marRight w:val="0"/>
      <w:marTop w:val="0"/>
      <w:marBottom w:val="0"/>
      <w:divBdr>
        <w:top w:val="none" w:sz="0" w:space="0" w:color="auto"/>
        <w:left w:val="none" w:sz="0" w:space="0" w:color="auto"/>
        <w:bottom w:val="none" w:sz="0" w:space="0" w:color="auto"/>
        <w:right w:val="none" w:sz="0" w:space="0" w:color="auto"/>
      </w:divBdr>
    </w:div>
    <w:div w:id="190463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precision-medicine-market" TargetMode="External"/><Relationship Id="rId3" Type="http://schemas.openxmlformats.org/officeDocument/2006/relationships/settings" Target="settings.xml"/><Relationship Id="rId7" Type="http://schemas.openxmlformats.org/officeDocument/2006/relationships/hyperlink" Target="https://www.skyquestt.com/report/precision-medicin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recision-medicine-market" TargetMode="External"/><Relationship Id="rId5" Type="http://schemas.openxmlformats.org/officeDocument/2006/relationships/hyperlink" Target="https://www.skyquestt.com/sample-request/precision-medicin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2025-04-16T12:31:00Z</dcterms:created>
  <dcterms:modified xsi:type="dcterms:W3CDTF">2025-04-16T12:36:00Z</dcterms:modified>
</cp:coreProperties>
</file>