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C31C" w14:textId="5C01D0A9" w:rsidR="000A3DAF" w:rsidRPr="000A3DAF" w:rsidRDefault="000A3DAF" w:rsidP="000A3DAF">
      <w:r w:rsidRPr="000A3DAF">
        <w:rPr>
          <w:b/>
          <w:bCs/>
        </w:rPr>
        <w:t>マイクログリッド市場は、再生可能エネルギーの統合とエネルギーレジリエンスに牽引され、2032年までに1,368億6,000万米ドルに達すると予測されています</w:t>
      </w:r>
    </w:p>
    <w:p w14:paraId="2A6EA3A2" w14:textId="77777777" w:rsidR="000A3DAF" w:rsidRDefault="000A3DAF" w:rsidP="000A3DAF">
      <w:r w:rsidRPr="000A3DAF">
        <w:t>マイクログリッドは、病院や大学のキャンパス、商業施設などの特定の場所に電力を供給する、小規模で構造化された自律型エネルギーシステムとして定義できます。独立した機能のために、中央集権的なグリッドの助けを必要としません。スマートマイクログリッドは、単独で動作するだけでなく、メイングリッドに接続して、オフラインのときに電気島になることもできます。効率の向上、時間の経過に伴う予測可能なエネルギー価格、および再生可能資源の効果的な使用は、有害物質の排出量を減らすことによって達成されます。開発、研究、テストへの少額の投資は、今後数年以内に世界のマイクログリッド市場に控えめな収益をもたらすでしょう。</w:t>
      </w:r>
    </w:p>
    <w:p w14:paraId="41917E73" w14:textId="77777777" w:rsidR="000A3DAF" w:rsidRPr="000A3DAF" w:rsidRDefault="000A3DAF" w:rsidP="000A3DAF">
      <w:pPr>
        <w:rPr>
          <w:b/>
          <w:bCs/>
        </w:rPr>
      </w:pPr>
      <w:r w:rsidRPr="000A3DAF">
        <w:rPr>
          <w:b/>
          <w:bCs/>
        </w:rPr>
        <w:t>世界のマイクログリッド市場規模は2023年に383億米ドルと評価され、2024年の441億2000万米ドルから2032年までに1368億6000万米ドルに成長し、予測期間(2025年から2032年)の間に15.2%のCAGRで成長する態勢を整えています。</w:t>
      </w:r>
    </w:p>
    <w:p w14:paraId="07AC8C26" w14:textId="73ECC5F9" w:rsidR="000A3DAF" w:rsidRPr="000A3DAF" w:rsidRDefault="000A3DAF" w:rsidP="000A3DAF">
      <w:r w:rsidRPr="000A3DAF">
        <w:t xml:space="preserve">今すぐ無料サンプルレポートを入手してください: </w:t>
      </w:r>
      <w:hyperlink r:id="rId5" w:history="1">
        <w:r w:rsidRPr="001774A2">
          <w:rPr>
            <w:rStyle w:val="Hyperlink"/>
          </w:rPr>
          <w:t>https://www.skyquestt.com/sample-request/microgrid-market</w:t>
        </w:r>
      </w:hyperlink>
      <w:r>
        <w:t xml:space="preserve"> </w:t>
      </w:r>
    </w:p>
    <w:p w14:paraId="15DC1D21" w14:textId="77777777" w:rsidR="000A3DAF" w:rsidRPr="000A3DAF" w:rsidRDefault="000A3DAF" w:rsidP="000A3DAF">
      <w:r w:rsidRPr="000A3DAF">
        <w:rPr>
          <w:b/>
          <w:bCs/>
        </w:rPr>
        <w:t>主な市場ドライバー:</w:t>
      </w:r>
    </w:p>
    <w:p w14:paraId="38564970" w14:textId="1D358861" w:rsidR="000A3DAF" w:rsidRPr="000A3DAF" w:rsidRDefault="000A3DAF" w:rsidP="000A3DAF">
      <w:pPr>
        <w:numPr>
          <w:ilvl w:val="0"/>
          <w:numId w:val="1"/>
        </w:numPr>
      </w:pPr>
      <w:r w:rsidRPr="000A3DAF">
        <w:rPr>
          <w:b/>
          <w:bCs/>
        </w:rPr>
        <w:t>再生可能エネルギーの統合:</w:t>
      </w:r>
      <w:r w:rsidRPr="000A3DAF">
        <w:t xml:space="preserve"> 太陽光や風力などの再生可能エネルギー源の採用が進むにつれ、効率的なエネルギー管理ソリューションが必要とされています。マイクログリッドは、これらの断続的なエネルギー源の統合を促進し、安定した信頼性の高い電力供給を確保します。</w:t>
      </w:r>
    </w:p>
    <w:p w14:paraId="614C2E58" w14:textId="29BDAAEF" w:rsidR="000A3DAF" w:rsidRPr="000A3DAF" w:rsidRDefault="000A3DAF" w:rsidP="000A3DAF">
      <w:pPr>
        <w:numPr>
          <w:ilvl w:val="0"/>
          <w:numId w:val="1"/>
        </w:numPr>
      </w:pPr>
      <w:r w:rsidRPr="000A3DAF">
        <w:rPr>
          <w:b/>
          <w:bCs/>
        </w:rPr>
        <w:t>エネルギーのレジリエンスと信頼性:</w:t>
      </w:r>
      <w:r w:rsidRPr="000A3DAF">
        <w:t xml:space="preserve"> マイクログリッドは、局所的な発電と配電を提供することでエネルギーのレジリエンスを強化します。これは、グリッドの停止時や遠隔地で特に有益です。この能力は、自然災害や送電網の不安定性に直面しているときに、ますます重要になっています。</w:t>
      </w:r>
    </w:p>
    <w:p w14:paraId="429ACBF2" w14:textId="77777777" w:rsidR="000A3DAF" w:rsidRPr="000A3DAF" w:rsidRDefault="000A3DAF" w:rsidP="000A3DAF">
      <w:r w:rsidRPr="000A3DAF">
        <w:rPr>
          <w:b/>
          <w:bCs/>
        </w:rPr>
        <w:t>市場セグメンテーション:</w:t>
      </w:r>
    </w:p>
    <w:p w14:paraId="478EE4EC" w14:textId="6C53676A" w:rsidR="000A3DAF" w:rsidRPr="000A3DAF" w:rsidRDefault="000A3DAF" w:rsidP="000A3DAF">
      <w:pPr>
        <w:numPr>
          <w:ilvl w:val="0"/>
          <w:numId w:val="2"/>
        </w:numPr>
      </w:pPr>
      <w:r w:rsidRPr="000A3DAF">
        <w:rPr>
          <w:b/>
          <w:bCs/>
        </w:rPr>
        <w:t>グリッドタイプ別:</w:t>
      </w:r>
      <w:r w:rsidRPr="000A3DAF">
        <w:t xml:space="preserve"> オングリッド、オフグリッド、ハイブリッド</w:t>
      </w:r>
    </w:p>
    <w:p w14:paraId="4FF0FBB0" w14:textId="56B3507B" w:rsidR="000A3DAF" w:rsidRPr="000A3DAF" w:rsidRDefault="000A3DAF" w:rsidP="000A3DAF">
      <w:pPr>
        <w:numPr>
          <w:ilvl w:val="0"/>
          <w:numId w:val="2"/>
        </w:numPr>
      </w:pPr>
      <w:r w:rsidRPr="000A3DAF">
        <w:rPr>
          <w:b/>
          <w:bCs/>
        </w:rPr>
        <w:t>コンポーネント別:</w:t>
      </w:r>
      <w:r w:rsidRPr="000A3DAF">
        <w:t xml:space="preserve"> ハードウェア、ソフトウェア、サービス</w:t>
      </w:r>
    </w:p>
    <w:p w14:paraId="6AF4737D" w14:textId="38236C01" w:rsidR="000A3DAF" w:rsidRPr="000A3DAF" w:rsidRDefault="000A3DAF" w:rsidP="000A3DAF">
      <w:pPr>
        <w:numPr>
          <w:ilvl w:val="0"/>
          <w:numId w:val="2"/>
        </w:numPr>
      </w:pPr>
      <w:r w:rsidRPr="000A3DAF">
        <w:rPr>
          <w:b/>
          <w:bCs/>
        </w:rPr>
        <w:t>エンドユーザー別:</w:t>
      </w:r>
      <w:r w:rsidRPr="000A3DAF">
        <w:t xml:space="preserve"> 公益事業、商業および産業、軍事、住宅、ヘルスケア、教育機関</w:t>
      </w:r>
    </w:p>
    <w:p w14:paraId="3EFF7979" w14:textId="41F33CBA" w:rsidR="000A3DAF" w:rsidRPr="000A3DAF" w:rsidRDefault="000A3DAF" w:rsidP="000A3DAF">
      <w:pPr>
        <w:numPr>
          <w:ilvl w:val="0"/>
          <w:numId w:val="2"/>
        </w:numPr>
      </w:pPr>
      <w:r w:rsidRPr="000A3DAF">
        <w:rPr>
          <w:b/>
          <w:bCs/>
        </w:rPr>
        <w:t>地域別:</w:t>
      </w:r>
      <w:r w:rsidRPr="000A3DAF">
        <w:t xml:space="preserve"> 北米、ヨーロッパ、アジア太平洋、ラテンアメリカ、中東、アフリカ</w:t>
      </w:r>
    </w:p>
    <w:p w14:paraId="69E3E28F" w14:textId="77777777" w:rsidR="000A3DAF" w:rsidRPr="000A3DAF" w:rsidRDefault="000A3DAF" w:rsidP="000A3DAF">
      <w:r w:rsidRPr="000A3DAF">
        <w:rPr>
          <w:b/>
          <w:bCs/>
        </w:rPr>
        <w:lastRenderedPageBreak/>
        <w:t>地域別インサイト:</w:t>
      </w:r>
    </w:p>
    <w:p w14:paraId="66776C5A" w14:textId="2B6D87A9" w:rsidR="000A3DAF" w:rsidRPr="000A3DAF" w:rsidRDefault="000A3DAF" w:rsidP="000A3DAF">
      <w:pPr>
        <w:numPr>
          <w:ilvl w:val="0"/>
          <w:numId w:val="3"/>
        </w:numPr>
      </w:pPr>
      <w:r w:rsidRPr="000A3DAF">
        <w:rPr>
          <w:b/>
          <w:bCs/>
        </w:rPr>
        <w:t>北米:</w:t>
      </w:r>
      <w:r w:rsidRPr="000A3DAF">
        <w:t xml:space="preserve"> グリッドの近代化と再生可能エネルギー源の統合への多額の投資により、市場をリードしています。この地域でエネルギー安全保障と強靭性に重点を置いていることが、マイクログリッドの採用をさらに推進しています。</w:t>
      </w:r>
    </w:p>
    <w:p w14:paraId="0E84A1D3" w14:textId="23FA1AF0" w:rsidR="000A3DAF" w:rsidRPr="000A3DAF" w:rsidRDefault="000A3DAF" w:rsidP="000A3DAF">
      <w:pPr>
        <w:numPr>
          <w:ilvl w:val="0"/>
          <w:numId w:val="3"/>
        </w:numPr>
      </w:pPr>
      <w:r w:rsidRPr="000A3DAF">
        <w:rPr>
          <w:b/>
          <w:bCs/>
        </w:rPr>
        <w:t>アジア太平洋地域:</w:t>
      </w:r>
      <w:r w:rsidRPr="000A3DAF">
        <w:t xml:space="preserve"> 急速な都市化、エネルギー需要の増加、再生可能エネルギーの統合を促進する政府の取り組みにより、大幅な成長が見込まれています。</w:t>
      </w:r>
    </w:p>
    <w:p w14:paraId="45289D86" w14:textId="77777777" w:rsidR="000A3DAF" w:rsidRPr="000A3DAF" w:rsidRDefault="000A3DAF" w:rsidP="000A3DAF">
      <w:pPr>
        <w:rPr>
          <w:b/>
          <w:bCs/>
        </w:rPr>
      </w:pPr>
      <w:r w:rsidRPr="000A3DAF">
        <w:rPr>
          <w:b/>
          <w:bCs/>
        </w:rPr>
        <w:t>マイクログリッド市場のトッププレーヤー</w:t>
      </w:r>
    </w:p>
    <w:p w14:paraId="422FF0DA" w14:textId="77777777" w:rsidR="000A3DAF" w:rsidRPr="000A3DAF" w:rsidRDefault="000A3DAF" w:rsidP="000A3DAF">
      <w:pPr>
        <w:pStyle w:val="ListParagraph"/>
        <w:numPr>
          <w:ilvl w:val="0"/>
          <w:numId w:val="4"/>
        </w:numPr>
      </w:pPr>
      <w:r w:rsidRPr="000A3DAF">
        <w:t xml:space="preserve">シュナイダーエレクトリック(フランス) </w:t>
      </w:r>
    </w:p>
    <w:p w14:paraId="4437A680" w14:textId="77777777" w:rsidR="000A3DAF" w:rsidRPr="000A3DAF" w:rsidRDefault="000A3DAF" w:rsidP="000A3DAF">
      <w:pPr>
        <w:pStyle w:val="ListParagraph"/>
        <w:numPr>
          <w:ilvl w:val="0"/>
          <w:numId w:val="4"/>
        </w:numPr>
      </w:pPr>
      <w:r w:rsidRPr="000A3DAF">
        <w:t xml:space="preserve">Siemens (ドイツ) </w:t>
      </w:r>
    </w:p>
    <w:p w14:paraId="25FB4508" w14:textId="77777777" w:rsidR="000A3DAF" w:rsidRPr="000A3DAF" w:rsidRDefault="000A3DAF" w:rsidP="000A3DAF">
      <w:pPr>
        <w:pStyle w:val="ListParagraph"/>
        <w:numPr>
          <w:ilvl w:val="0"/>
          <w:numId w:val="4"/>
        </w:numPr>
      </w:pPr>
      <w:r w:rsidRPr="000A3DAF">
        <w:t xml:space="preserve">イートン(アイルランド) </w:t>
      </w:r>
    </w:p>
    <w:p w14:paraId="33941727" w14:textId="77777777" w:rsidR="000A3DAF" w:rsidRPr="000A3DAF" w:rsidRDefault="000A3DAF" w:rsidP="000A3DAF">
      <w:pPr>
        <w:pStyle w:val="ListParagraph"/>
        <w:numPr>
          <w:ilvl w:val="0"/>
          <w:numId w:val="4"/>
        </w:numPr>
      </w:pPr>
      <w:r w:rsidRPr="000A3DAF">
        <w:t xml:space="preserve">ゼネラル・エレクトリック(米国) </w:t>
      </w:r>
    </w:p>
    <w:p w14:paraId="53490570" w14:textId="77777777" w:rsidR="000A3DAF" w:rsidRPr="000A3DAF" w:rsidRDefault="000A3DAF" w:rsidP="000A3DAF">
      <w:pPr>
        <w:pStyle w:val="ListParagraph"/>
        <w:numPr>
          <w:ilvl w:val="0"/>
          <w:numId w:val="4"/>
        </w:numPr>
      </w:pPr>
      <w:r w:rsidRPr="000A3DAF">
        <w:t xml:space="preserve">ABB (スイス) </w:t>
      </w:r>
    </w:p>
    <w:p w14:paraId="33628476" w14:textId="77777777" w:rsidR="000A3DAF" w:rsidRPr="000A3DAF" w:rsidRDefault="000A3DAF" w:rsidP="000A3DAF">
      <w:pPr>
        <w:pStyle w:val="ListParagraph"/>
        <w:numPr>
          <w:ilvl w:val="0"/>
          <w:numId w:val="4"/>
        </w:numPr>
      </w:pPr>
      <w:r w:rsidRPr="000A3DAF">
        <w:t xml:space="preserve">Hitachi Energy Ltd.(スイス) </w:t>
      </w:r>
    </w:p>
    <w:p w14:paraId="6580767C" w14:textId="77777777" w:rsidR="000A3DAF" w:rsidRPr="000A3DAF" w:rsidRDefault="000A3DAF" w:rsidP="000A3DAF">
      <w:pPr>
        <w:pStyle w:val="ListParagraph"/>
        <w:numPr>
          <w:ilvl w:val="0"/>
          <w:numId w:val="4"/>
        </w:numPr>
      </w:pPr>
      <w:r w:rsidRPr="000A3DAF">
        <w:t xml:space="preserve">Honeywell International Inc.(米国) </w:t>
      </w:r>
    </w:p>
    <w:p w14:paraId="0C4E682A" w14:textId="77777777" w:rsidR="000A3DAF" w:rsidRPr="000A3DAF" w:rsidRDefault="000A3DAF" w:rsidP="000A3DAF">
      <w:pPr>
        <w:pStyle w:val="ListParagraph"/>
        <w:numPr>
          <w:ilvl w:val="0"/>
          <w:numId w:val="4"/>
        </w:numPr>
      </w:pPr>
      <w:r w:rsidRPr="000A3DAF">
        <w:t xml:space="preserve">S&amp;C Electric Company(米国) </w:t>
      </w:r>
    </w:p>
    <w:p w14:paraId="36FEC310" w14:textId="77777777" w:rsidR="000A3DAF" w:rsidRPr="000A3DAF" w:rsidRDefault="000A3DAF" w:rsidP="000A3DAF">
      <w:pPr>
        <w:pStyle w:val="ListParagraph"/>
        <w:numPr>
          <w:ilvl w:val="0"/>
          <w:numId w:val="4"/>
        </w:numPr>
      </w:pPr>
      <w:r w:rsidRPr="000A3DAF">
        <w:t xml:space="preserve">ABB (スイス) </w:t>
      </w:r>
    </w:p>
    <w:p w14:paraId="668E124E" w14:textId="77777777" w:rsidR="000A3DAF" w:rsidRPr="000A3DAF" w:rsidRDefault="000A3DAF" w:rsidP="000A3DAF">
      <w:pPr>
        <w:pStyle w:val="ListParagraph"/>
        <w:numPr>
          <w:ilvl w:val="0"/>
          <w:numId w:val="4"/>
        </w:numPr>
      </w:pPr>
      <w:r w:rsidRPr="000A3DAF">
        <w:t xml:space="preserve">GE(ゼネラル・エレクトリック)(米国) </w:t>
      </w:r>
    </w:p>
    <w:p w14:paraId="73611DD7" w14:textId="77777777" w:rsidR="000A3DAF" w:rsidRPr="000A3DAF" w:rsidRDefault="000A3DAF" w:rsidP="000A3DAF">
      <w:pPr>
        <w:pStyle w:val="ListParagraph"/>
        <w:numPr>
          <w:ilvl w:val="0"/>
          <w:numId w:val="4"/>
        </w:numPr>
      </w:pPr>
      <w:r w:rsidRPr="000A3DAF">
        <w:t xml:space="preserve">キャタピラー(米国) </w:t>
      </w:r>
    </w:p>
    <w:p w14:paraId="6FC2A355" w14:textId="77777777" w:rsidR="000A3DAF" w:rsidRPr="000A3DAF" w:rsidRDefault="000A3DAF" w:rsidP="000A3DAF">
      <w:pPr>
        <w:pStyle w:val="ListParagraph"/>
        <w:numPr>
          <w:ilvl w:val="0"/>
          <w:numId w:val="4"/>
        </w:numPr>
      </w:pPr>
      <w:r w:rsidRPr="000A3DAF">
        <w:t xml:space="preserve">S&amp;C Electric (米国) </w:t>
      </w:r>
    </w:p>
    <w:p w14:paraId="1900F92E" w14:textId="77777777" w:rsidR="000A3DAF" w:rsidRPr="000A3DAF" w:rsidRDefault="000A3DAF" w:rsidP="000A3DAF">
      <w:pPr>
        <w:pStyle w:val="ListParagraph"/>
        <w:numPr>
          <w:ilvl w:val="0"/>
          <w:numId w:val="4"/>
        </w:numPr>
      </w:pPr>
      <w:r w:rsidRPr="000A3DAF">
        <w:t xml:space="preserve">Siemens (ドイツ) </w:t>
      </w:r>
    </w:p>
    <w:p w14:paraId="7A72D4AB" w14:textId="55641295" w:rsidR="000A3DAF" w:rsidRPr="000A3DAF" w:rsidRDefault="000A3DAF" w:rsidP="000A3DAF">
      <w:pPr>
        <w:pStyle w:val="ListParagraph"/>
        <w:numPr>
          <w:ilvl w:val="0"/>
          <w:numId w:val="4"/>
        </w:numPr>
      </w:pPr>
      <w:r w:rsidRPr="000A3DAF">
        <w:t>Microgrid Energy(米国)</w:t>
      </w:r>
    </w:p>
    <w:p w14:paraId="79A1CAF1" w14:textId="77777777" w:rsidR="000A3DAF" w:rsidRPr="000A3DAF" w:rsidRDefault="000A3DAF" w:rsidP="000A3DAF">
      <w:pPr>
        <w:rPr>
          <w:b/>
          <w:bCs/>
        </w:rPr>
      </w:pPr>
      <w:r w:rsidRPr="000A3DAF">
        <w:rPr>
          <w:b/>
          <w:bCs/>
        </w:rPr>
        <w:t>最近の動向</w:t>
      </w:r>
    </w:p>
    <w:p w14:paraId="4EF38539" w14:textId="77777777" w:rsidR="000A3DAF" w:rsidRPr="000A3DAF" w:rsidRDefault="000A3DAF" w:rsidP="000A3DAF">
      <w:pPr>
        <w:pStyle w:val="ListParagraph"/>
        <w:numPr>
          <w:ilvl w:val="0"/>
          <w:numId w:val="5"/>
        </w:numPr>
      </w:pPr>
      <w:r w:rsidRPr="000A3DAF">
        <w:t>2024年7月、シーメンスは安定性と効率性を向上させてコンセントの動作を改善するために、新しいマイクログリッド管理システムを導入しました。このシステムは、人工知能(AI)やモノのインターネット(IoT)などの最先端技術を搭載しており、共有エネルギー源のライブ視聴と制御を可能にし、複雑な電力システムのパフォーマンスと信頼性を向上させます。</w:t>
      </w:r>
    </w:p>
    <w:p w14:paraId="6F4AB757" w14:textId="77777777" w:rsidR="000A3DAF" w:rsidRPr="000A3DAF" w:rsidRDefault="000A3DAF" w:rsidP="000A3DAF">
      <w:pPr>
        <w:pStyle w:val="ListParagraph"/>
        <w:numPr>
          <w:ilvl w:val="0"/>
          <w:numId w:val="5"/>
        </w:numPr>
      </w:pPr>
      <w:r w:rsidRPr="000A3DAF">
        <w:t>2024年6月、ABBの高度なマイクログリッド技術が正式に導入され、スマートグリッド技術をエネルギー貯蔵および再生可能エネルギー発電とリンクさせました。この創設により、ABBは、遠く離れた遠隔地でのエネルギー効率を向上させる複数のアプリケーション向けのスケーラブルな代替ソリューションを提供することで、持続可能なエネルギー管理の約束を達成することができます。</w:t>
      </w:r>
    </w:p>
    <w:p w14:paraId="7EC25040" w14:textId="20688A6E" w:rsidR="000A3DAF" w:rsidRPr="000A3DAF" w:rsidRDefault="000A3DAF" w:rsidP="000A3DAF">
      <w:pPr>
        <w:pStyle w:val="ListParagraph"/>
        <w:numPr>
          <w:ilvl w:val="0"/>
          <w:numId w:val="5"/>
        </w:numPr>
      </w:pPr>
      <w:r w:rsidRPr="000A3DAF">
        <w:lastRenderedPageBreak/>
        <w:t>2024年8月、最新の2023年10月データにより、トレーニングは終了します。ゼネラル・エレクトリック(GE)は、デジタル管理を改善し、予測ベースのメンテナンスをサポートするための新しいマイクログリッド技術を開発しました。このイノベーションは、都市部と農村部の両方でマイクログリッドのエネルギー持続可能性を強化しながら、運用コストを最小限に抑えることを目的とした、電力レイアウトの損傷なしにクリーンエネルギー方法を推進するというGEのコミットメントと一致しています。</w:t>
      </w:r>
    </w:p>
    <w:p w14:paraId="1140C910" w14:textId="30711F16" w:rsidR="000A3DAF" w:rsidRPr="000A3DAF" w:rsidRDefault="000A3DAF" w:rsidP="000A3DAF">
      <w:r w:rsidRPr="000A3DAF">
        <w:rPr>
          <w:b/>
          <w:bCs/>
        </w:rPr>
        <w:t>今後の見通し:</w:t>
      </w:r>
    </w:p>
    <w:p w14:paraId="7D6E2122" w14:textId="5C3E636C" w:rsidR="000A3DAF" w:rsidRPr="000A3DAF" w:rsidRDefault="000A3DAF" w:rsidP="000A3DAF">
      <w:r w:rsidRPr="000A3DAF">
        <w:t>マイクログリッド市場は、持続可能で回復力のあるエネルギーシステムに対する世界的な重視が強まるにつれて、大幅な拡大が見込まれています。技術の進歩は、それを支える規制の枠組みと相まって、市場の成長をさらに加速させると予想されます。</w:t>
      </w:r>
    </w:p>
    <w:p w14:paraId="04FA09A5" w14:textId="465F493B" w:rsidR="000A3DAF" w:rsidRDefault="000A3DAF" w:rsidP="000A3DAF">
      <w:r w:rsidRPr="000A3DAF">
        <w:t xml:space="preserve">包括的な分析については、SkyQuest Technologyによるレポート全文を参照してください </w:t>
      </w:r>
      <w:hyperlink r:id="rId6" w:history="1">
        <w:r w:rsidR="004C651A" w:rsidRPr="001774A2">
          <w:rPr>
            <w:rStyle w:val="Hyperlink"/>
          </w:rPr>
          <w:t>https://www.skyquestt.com/report/microgrid-market</w:t>
        </w:r>
      </w:hyperlink>
      <w:r w:rsidR="004C651A">
        <w:t xml:space="preserve"> </w:t>
      </w:r>
      <w:r w:rsidRPr="000A3DAF">
        <w:t xml:space="preserve"> </w:t>
      </w:r>
      <w:hyperlink r:id="rId7" w:history="1"/>
      <w:r>
        <w:t xml:space="preserve"> </w:t>
      </w:r>
    </w:p>
    <w:p w14:paraId="3F035ED6" w14:textId="19D14671" w:rsidR="000A3DAF" w:rsidRDefault="000A3DAF" w:rsidP="000A3DAF">
      <w:r>
        <w:t>また、読んでください。</w:t>
      </w:r>
    </w:p>
    <w:p w14:paraId="5D41E1F1" w14:textId="30FC6859" w:rsidR="000A3DAF" w:rsidRDefault="000A3DAF" w:rsidP="000A3DAF">
      <w:r w:rsidRPr="000A3DAF">
        <w:t>オルガンオンチップ市場 -</w:t>
      </w:r>
      <w:hyperlink r:id="rId8" w:history="1">
        <w:r w:rsidRPr="000A3DAF">
          <w:rPr>
            <w:rStyle w:val="Hyperlink"/>
          </w:rPr>
          <w:t>https://vinitsawant.hatenablog.com/entry/2025/04/22/215955?_gl=1*1svqotx*_gcl_au*NzA0MzAyMjA2LjE3NDI5MDgxOTA.</w:t>
        </w:r>
      </w:hyperlink>
    </w:p>
    <w:p w14:paraId="3D564589" w14:textId="09BD4EA9" w:rsidR="000A3DAF" w:rsidRPr="000A3DAF" w:rsidRDefault="000A3DAF" w:rsidP="000A3DAF">
      <w:r w:rsidRPr="000A3DAF">
        <w:t xml:space="preserve">セラミックスマーケット- </w:t>
      </w:r>
      <w:hyperlink r:id="rId9" w:history="1">
        <w:r w:rsidRPr="000A3DAF">
          <w:rPr>
            <w:rStyle w:val="Hyperlink"/>
          </w:rPr>
          <w:t>https://vinitsawant.hatenablog.com/entry/2025/04/21/210046?_gl=1*qgs1r8*_gcl_au*NzA0MzAyMjA2LjE3NDI5MDgxOTA.</w:t>
        </w:r>
      </w:hyperlink>
    </w:p>
    <w:p w14:paraId="7F2B23D9" w14:textId="331C33F3"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2673"/>
    <w:multiLevelType w:val="multilevel"/>
    <w:tmpl w:val="8DA8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57D5B"/>
    <w:multiLevelType w:val="hybridMultilevel"/>
    <w:tmpl w:val="CDD6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C7969"/>
    <w:multiLevelType w:val="multilevel"/>
    <w:tmpl w:val="265E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3A68D7"/>
    <w:multiLevelType w:val="multilevel"/>
    <w:tmpl w:val="8700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C25131"/>
    <w:multiLevelType w:val="hybridMultilevel"/>
    <w:tmpl w:val="0A4C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7477894">
    <w:abstractNumId w:val="3"/>
  </w:num>
  <w:num w:numId="2" w16cid:durableId="713849674">
    <w:abstractNumId w:val="2"/>
  </w:num>
  <w:num w:numId="3" w16cid:durableId="136918709">
    <w:abstractNumId w:val="0"/>
  </w:num>
  <w:num w:numId="4" w16cid:durableId="641733966">
    <w:abstractNumId w:val="4"/>
  </w:num>
  <w:num w:numId="5" w16cid:durableId="692417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AF"/>
    <w:rsid w:val="000A3DAF"/>
    <w:rsid w:val="001D01DB"/>
    <w:rsid w:val="00274CDA"/>
    <w:rsid w:val="004C651A"/>
    <w:rsid w:val="004D40C5"/>
    <w:rsid w:val="00565657"/>
    <w:rsid w:val="00B354D8"/>
    <w:rsid w:val="00BB68BD"/>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4133"/>
  <w15:chartTrackingRefBased/>
  <w15:docId w15:val="{3C719F92-6A23-45C3-BEDD-DB32AA9F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3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3D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3D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3D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3D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D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D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D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D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D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D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D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D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D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D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D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DAF"/>
    <w:rPr>
      <w:rFonts w:eastAsiaTheme="majorEastAsia" w:cstheme="majorBidi"/>
      <w:color w:val="272727" w:themeColor="text1" w:themeTint="D8"/>
    </w:rPr>
  </w:style>
  <w:style w:type="paragraph" w:styleId="Title">
    <w:name w:val="Title"/>
    <w:basedOn w:val="Normal"/>
    <w:next w:val="Normal"/>
    <w:link w:val="TitleChar"/>
    <w:uiPriority w:val="10"/>
    <w:qFormat/>
    <w:rsid w:val="000A3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D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D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DAF"/>
    <w:pPr>
      <w:spacing w:before="160"/>
      <w:jc w:val="center"/>
    </w:pPr>
    <w:rPr>
      <w:i/>
      <w:iCs/>
      <w:color w:val="404040" w:themeColor="text1" w:themeTint="BF"/>
    </w:rPr>
  </w:style>
  <w:style w:type="character" w:customStyle="1" w:styleId="QuoteChar">
    <w:name w:val="Quote Char"/>
    <w:basedOn w:val="DefaultParagraphFont"/>
    <w:link w:val="Quote"/>
    <w:uiPriority w:val="29"/>
    <w:rsid w:val="000A3DAF"/>
    <w:rPr>
      <w:i/>
      <w:iCs/>
      <w:color w:val="404040" w:themeColor="text1" w:themeTint="BF"/>
    </w:rPr>
  </w:style>
  <w:style w:type="paragraph" w:styleId="ListParagraph">
    <w:name w:val="List Paragraph"/>
    <w:basedOn w:val="Normal"/>
    <w:uiPriority w:val="34"/>
    <w:qFormat/>
    <w:rsid w:val="000A3DAF"/>
    <w:pPr>
      <w:ind w:left="720"/>
      <w:contextualSpacing/>
    </w:pPr>
  </w:style>
  <w:style w:type="character" w:styleId="IntenseEmphasis">
    <w:name w:val="Intense Emphasis"/>
    <w:basedOn w:val="DefaultParagraphFont"/>
    <w:uiPriority w:val="21"/>
    <w:qFormat/>
    <w:rsid w:val="000A3DAF"/>
    <w:rPr>
      <w:i/>
      <w:iCs/>
      <w:color w:val="2F5496" w:themeColor="accent1" w:themeShade="BF"/>
    </w:rPr>
  </w:style>
  <w:style w:type="paragraph" w:styleId="IntenseQuote">
    <w:name w:val="Intense Quote"/>
    <w:basedOn w:val="Normal"/>
    <w:next w:val="Normal"/>
    <w:link w:val="IntenseQuoteChar"/>
    <w:uiPriority w:val="30"/>
    <w:qFormat/>
    <w:rsid w:val="000A3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3DAF"/>
    <w:rPr>
      <w:i/>
      <w:iCs/>
      <w:color w:val="2F5496" w:themeColor="accent1" w:themeShade="BF"/>
    </w:rPr>
  </w:style>
  <w:style w:type="character" w:styleId="IntenseReference">
    <w:name w:val="Intense Reference"/>
    <w:basedOn w:val="DefaultParagraphFont"/>
    <w:uiPriority w:val="32"/>
    <w:qFormat/>
    <w:rsid w:val="000A3DAF"/>
    <w:rPr>
      <w:b/>
      <w:bCs/>
      <w:smallCaps/>
      <w:color w:val="2F5496" w:themeColor="accent1" w:themeShade="BF"/>
      <w:spacing w:val="5"/>
    </w:rPr>
  </w:style>
  <w:style w:type="character" w:styleId="Hyperlink">
    <w:name w:val="Hyperlink"/>
    <w:basedOn w:val="DefaultParagraphFont"/>
    <w:uiPriority w:val="99"/>
    <w:unhideWhenUsed/>
    <w:rsid w:val="000A3DAF"/>
    <w:rPr>
      <w:color w:val="0563C1" w:themeColor="hyperlink"/>
      <w:u w:val="single"/>
    </w:rPr>
  </w:style>
  <w:style w:type="character" w:styleId="UnresolvedMention">
    <w:name w:val="Unresolved Mention"/>
    <w:basedOn w:val="DefaultParagraphFont"/>
    <w:uiPriority w:val="99"/>
    <w:semiHidden/>
    <w:unhideWhenUsed/>
    <w:rsid w:val="000A3DAF"/>
    <w:rPr>
      <w:color w:val="605E5C"/>
      <w:shd w:val="clear" w:color="auto" w:fill="E1DFDD"/>
    </w:rPr>
  </w:style>
  <w:style w:type="character" w:styleId="PlaceholderText">
    <w:name w:val="Placeholder Text"/>
    <w:basedOn w:val="DefaultParagraphFont"/>
    <w:uiPriority w:val="99"/>
    <w:semiHidden/>
    <w:rsid w:val="004C65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816">
      <w:bodyDiv w:val="1"/>
      <w:marLeft w:val="0"/>
      <w:marRight w:val="0"/>
      <w:marTop w:val="0"/>
      <w:marBottom w:val="0"/>
      <w:divBdr>
        <w:top w:val="none" w:sz="0" w:space="0" w:color="auto"/>
        <w:left w:val="none" w:sz="0" w:space="0" w:color="auto"/>
        <w:bottom w:val="none" w:sz="0" w:space="0" w:color="auto"/>
        <w:right w:val="none" w:sz="0" w:space="0" w:color="auto"/>
      </w:divBdr>
    </w:div>
    <w:div w:id="60905546">
      <w:bodyDiv w:val="1"/>
      <w:marLeft w:val="0"/>
      <w:marRight w:val="0"/>
      <w:marTop w:val="0"/>
      <w:marBottom w:val="0"/>
      <w:divBdr>
        <w:top w:val="none" w:sz="0" w:space="0" w:color="auto"/>
        <w:left w:val="none" w:sz="0" w:space="0" w:color="auto"/>
        <w:bottom w:val="none" w:sz="0" w:space="0" w:color="auto"/>
        <w:right w:val="none" w:sz="0" w:space="0" w:color="auto"/>
      </w:divBdr>
    </w:div>
    <w:div w:id="635720211">
      <w:bodyDiv w:val="1"/>
      <w:marLeft w:val="0"/>
      <w:marRight w:val="0"/>
      <w:marTop w:val="0"/>
      <w:marBottom w:val="0"/>
      <w:divBdr>
        <w:top w:val="none" w:sz="0" w:space="0" w:color="auto"/>
        <w:left w:val="none" w:sz="0" w:space="0" w:color="auto"/>
        <w:bottom w:val="none" w:sz="0" w:space="0" w:color="auto"/>
        <w:right w:val="none" w:sz="0" w:space="0" w:color="auto"/>
      </w:divBdr>
    </w:div>
    <w:div w:id="1033186353">
      <w:bodyDiv w:val="1"/>
      <w:marLeft w:val="0"/>
      <w:marRight w:val="0"/>
      <w:marTop w:val="0"/>
      <w:marBottom w:val="0"/>
      <w:divBdr>
        <w:top w:val="none" w:sz="0" w:space="0" w:color="auto"/>
        <w:left w:val="none" w:sz="0" w:space="0" w:color="auto"/>
        <w:bottom w:val="none" w:sz="0" w:space="0" w:color="auto"/>
        <w:right w:val="none" w:sz="0" w:space="0" w:color="auto"/>
      </w:divBdr>
    </w:div>
    <w:div w:id="1159463477">
      <w:bodyDiv w:val="1"/>
      <w:marLeft w:val="0"/>
      <w:marRight w:val="0"/>
      <w:marTop w:val="0"/>
      <w:marBottom w:val="0"/>
      <w:divBdr>
        <w:top w:val="none" w:sz="0" w:space="0" w:color="auto"/>
        <w:left w:val="none" w:sz="0" w:space="0" w:color="auto"/>
        <w:bottom w:val="none" w:sz="0" w:space="0" w:color="auto"/>
        <w:right w:val="none" w:sz="0" w:space="0" w:color="auto"/>
      </w:divBdr>
    </w:div>
    <w:div w:id="1253586165">
      <w:bodyDiv w:val="1"/>
      <w:marLeft w:val="0"/>
      <w:marRight w:val="0"/>
      <w:marTop w:val="0"/>
      <w:marBottom w:val="0"/>
      <w:divBdr>
        <w:top w:val="none" w:sz="0" w:space="0" w:color="auto"/>
        <w:left w:val="none" w:sz="0" w:space="0" w:color="auto"/>
        <w:bottom w:val="none" w:sz="0" w:space="0" w:color="auto"/>
        <w:right w:val="none" w:sz="0" w:space="0" w:color="auto"/>
      </w:divBdr>
    </w:div>
    <w:div w:id="1281108093">
      <w:bodyDiv w:val="1"/>
      <w:marLeft w:val="0"/>
      <w:marRight w:val="0"/>
      <w:marTop w:val="0"/>
      <w:marBottom w:val="0"/>
      <w:divBdr>
        <w:top w:val="none" w:sz="0" w:space="0" w:color="auto"/>
        <w:left w:val="none" w:sz="0" w:space="0" w:color="auto"/>
        <w:bottom w:val="none" w:sz="0" w:space="0" w:color="auto"/>
        <w:right w:val="none" w:sz="0" w:space="0" w:color="auto"/>
      </w:divBdr>
    </w:div>
    <w:div w:id="18941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22/215955?_gl=1*1svqotx*_gcl_au*NzA0MzAyMjA2LjE3NDI5MDgxOTA." TargetMode="External"/><Relationship Id="rId3" Type="http://schemas.openxmlformats.org/officeDocument/2006/relationships/settings" Target="settings.xml"/><Relationship Id="rId7" Type="http://schemas.openxmlformats.org/officeDocument/2006/relationships/hyperlink" Target="https://www.skyquestt.com/report/microgrid-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microgrid-market" TargetMode="External"/><Relationship Id="rId11" Type="http://schemas.openxmlformats.org/officeDocument/2006/relationships/theme" Target="theme/theme1.xml"/><Relationship Id="rId5" Type="http://schemas.openxmlformats.org/officeDocument/2006/relationships/hyperlink" Target="https://www.skyquestt.com/sample-request/microgrid-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nitsawant.hatenablog.com/entry/2025/04/21/210046?_gl=1*qgs1r8*_gcl_au*NzA0MzAyMjA2LjE3NDI5MDgx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2025-04-22T16:56:00Z</dcterms:created>
  <dcterms:modified xsi:type="dcterms:W3CDTF">2025-04-22T17:02:00Z</dcterms:modified>
</cp:coreProperties>
</file>