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59505" w14:textId="6FBBC3C0" w:rsidR="00AD6029" w:rsidRPr="00AD6029" w:rsidRDefault="00AD6029" w:rsidP="00AD6029">
      <w:r w:rsidRPr="00AD6029">
        <w:rPr>
          <w:b/>
          <w:bCs/>
        </w:rPr>
        <w:t>遺伝子検査市場は、精密医療の進歩と消費者の需要に支えられ、2032年までに515億5000万米ドルに達する見込み</w:t>
      </w:r>
    </w:p>
    <w:p w14:paraId="20A50DDA" w14:textId="77777777" w:rsidR="00AD6029" w:rsidRDefault="00AD6029" w:rsidP="00AD6029">
      <w:r w:rsidRPr="00AD6029">
        <w:t>遺伝子検査市場は、技術の大幅な進歩、医療ニーズの高まり、意識の高まりにより、過去数年間で大幅に進歩しました。市場は、意識と需要の高まり、および技術の向上によって大きく影響を受けます。遺伝子検査に対する一般の認識と関心は高まっており、これは世界中で一般的なさまざまな健康状態に関するメディアの報道や教育キャンペーンによって推進されています。</w:t>
      </w:r>
    </w:p>
    <w:p w14:paraId="2EBB2328" w14:textId="77777777" w:rsidR="00AD6029" w:rsidRPr="00AD6029" w:rsidRDefault="00AD6029" w:rsidP="00AD6029">
      <w:pPr>
        <w:rPr>
          <w:b/>
          <w:bCs/>
        </w:rPr>
      </w:pPr>
      <w:r w:rsidRPr="00AD6029">
        <w:rPr>
          <w:b/>
          <w:bCs/>
        </w:rPr>
        <w:t>世界の遺伝子検査市場規模は2023年に80億米ドルと評価され、2024年の98億4000万米ドルから2032年までに515億5000万米ドルに成長し、予測期間(2025年から2032年)の間に23.0%のCAGRで成長する態勢を整えています。</w:t>
      </w:r>
    </w:p>
    <w:p w14:paraId="699D06ED" w14:textId="32B752E7" w:rsidR="00AD6029" w:rsidRDefault="00AD6029" w:rsidP="00AD6029">
      <w:r>
        <w:t xml:space="preserve">無料サンプルレポートを入手: </w:t>
      </w:r>
      <w:hyperlink r:id="rId5" w:history="1">
        <w:r w:rsidRPr="004F10C8">
          <w:rPr>
            <w:rStyle w:val="Hyperlink"/>
          </w:rPr>
          <w:t>https://www.skyquestt.com/sample-request/genetic-testing-market</w:t>
        </w:r>
      </w:hyperlink>
      <w:r>
        <w:t xml:space="preserve"> </w:t>
      </w:r>
    </w:p>
    <w:p w14:paraId="062DCAB4" w14:textId="0E34F4EE" w:rsidR="00AD6029" w:rsidRPr="00AD6029" w:rsidRDefault="00AD6029" w:rsidP="00AD6029">
      <w:r w:rsidRPr="00AD6029">
        <w:rPr>
          <w:b/>
          <w:bCs/>
        </w:rPr>
        <w:t>主な市場ドライバー:</w:t>
      </w:r>
    </w:p>
    <w:p w14:paraId="25C5FED5" w14:textId="19F333BB" w:rsidR="00AD6029" w:rsidRPr="00AD6029" w:rsidRDefault="00AD6029" w:rsidP="00AD6029">
      <w:pPr>
        <w:numPr>
          <w:ilvl w:val="0"/>
          <w:numId w:val="1"/>
        </w:numPr>
      </w:pPr>
      <w:r w:rsidRPr="00AD6029">
        <w:rPr>
          <w:b/>
          <w:bCs/>
        </w:rPr>
        <w:t>プレシジョン・メディシンの進歩:</w:t>
      </w:r>
      <w:r w:rsidRPr="00AD6029">
        <w:t xml:space="preserve"> 個別化医療アプローチの採用の増加により、遺伝子検査の需要が高まり、個々の遺伝子プロファイルに基づいたオーダーメイドの治療計画が可能になりつつあります。</w:t>
      </w:r>
    </w:p>
    <w:p w14:paraId="37CE07FF" w14:textId="22145385" w:rsidR="00AD6029" w:rsidRPr="00AD6029" w:rsidRDefault="00AD6029" w:rsidP="00AD6029">
      <w:pPr>
        <w:numPr>
          <w:ilvl w:val="0"/>
          <w:numId w:val="1"/>
        </w:numPr>
      </w:pPr>
      <w:r w:rsidRPr="00AD6029">
        <w:rPr>
          <w:b/>
          <w:bCs/>
        </w:rPr>
        <w:t>技術革新:</w:t>
      </w:r>
      <w:r w:rsidRPr="00AD6029">
        <w:t xml:space="preserve"> 次世代シーケンシング(NGS)やポリメラーゼ連鎖反応(PCR)などの検査方法の発展により、遺伝子検査の精度と効率が向上しました。</w:t>
      </w:r>
    </w:p>
    <w:p w14:paraId="76159A93" w14:textId="00D4CCD8" w:rsidR="00AD6029" w:rsidRPr="00AD6029" w:rsidRDefault="00AD6029" w:rsidP="00AD6029">
      <w:pPr>
        <w:numPr>
          <w:ilvl w:val="0"/>
          <w:numId w:val="1"/>
        </w:numPr>
      </w:pPr>
      <w:r w:rsidRPr="00AD6029">
        <w:rPr>
          <w:b/>
          <w:bCs/>
        </w:rPr>
        <w:t>消費者の意識の高まり:</w:t>
      </w:r>
      <w:r w:rsidRPr="00AD6029">
        <w:t xml:space="preserve"> 祖先、健康素因、個別化医療に対する一般の関心の高まりが、消費者への直接販売の遺伝子検査サービスの拡大に貢献しています。</w:t>
      </w:r>
    </w:p>
    <w:p w14:paraId="35D7EA8C" w14:textId="77777777" w:rsidR="00AD6029" w:rsidRPr="00AD6029" w:rsidRDefault="00AD6029" w:rsidP="00AD6029">
      <w:r w:rsidRPr="00AD6029">
        <w:rPr>
          <w:b/>
          <w:bCs/>
        </w:rPr>
        <w:t>市場セグメンテーション:</w:t>
      </w:r>
    </w:p>
    <w:p w14:paraId="374DBB20" w14:textId="7EC31E6E" w:rsidR="00AD6029" w:rsidRPr="00AD6029" w:rsidRDefault="00AD6029" w:rsidP="00AD6029">
      <w:pPr>
        <w:numPr>
          <w:ilvl w:val="0"/>
          <w:numId w:val="2"/>
        </w:numPr>
      </w:pPr>
      <w:r w:rsidRPr="00AD6029">
        <w:rPr>
          <w:b/>
          <w:bCs/>
        </w:rPr>
        <w:t>製品別:</w:t>
      </w:r>
      <w:r w:rsidRPr="00AD6029">
        <w:t xml:space="preserve"> 消耗品、機器、ソフトウェア、サービス</w:t>
      </w:r>
    </w:p>
    <w:p w14:paraId="3C10924B" w14:textId="1E73695C" w:rsidR="00AD6029" w:rsidRPr="00AD6029" w:rsidRDefault="00AD6029" w:rsidP="00AD6029">
      <w:pPr>
        <w:numPr>
          <w:ilvl w:val="0"/>
          <w:numId w:val="2"/>
        </w:numPr>
      </w:pPr>
      <w:r w:rsidRPr="00AD6029">
        <w:rPr>
          <w:b/>
          <w:bCs/>
        </w:rPr>
        <w:t>技術別:</w:t>
      </w:r>
      <w:r w:rsidRPr="00AD6029">
        <w:t xml:space="preserve"> 次世代シーケンシング(NGS)、ポリメラーゼ連鎖反応(PCR)、蛍光In Situハイブリダイゼーション(FISH)、化学発光免疫測定法(CLIA)、その他</w:t>
      </w:r>
    </w:p>
    <w:p w14:paraId="62C90EA7" w14:textId="4C9DB621" w:rsidR="00AD6029" w:rsidRPr="00AD6029" w:rsidRDefault="00AD6029" w:rsidP="00AD6029">
      <w:pPr>
        <w:numPr>
          <w:ilvl w:val="0"/>
          <w:numId w:val="2"/>
        </w:numPr>
      </w:pPr>
      <w:r w:rsidRPr="00AD6029">
        <w:rPr>
          <w:b/>
          <w:bCs/>
        </w:rPr>
        <w:t>検査タイプ別:</w:t>
      </w:r>
      <w:r w:rsidRPr="00AD6029">
        <w:t xml:space="preserve"> 予測および発症前検査、キャリア検査、出生前および新生児検査、着床前検査、診断検査、薬理ゲノム検査、ニュートリゲノム検査、法医学検査</w:t>
      </w:r>
    </w:p>
    <w:p w14:paraId="5643FA7A" w14:textId="33373FF1" w:rsidR="00AD6029" w:rsidRPr="00AD6029" w:rsidRDefault="00AD6029" w:rsidP="00AD6029">
      <w:pPr>
        <w:numPr>
          <w:ilvl w:val="0"/>
          <w:numId w:val="2"/>
        </w:numPr>
      </w:pPr>
      <w:r w:rsidRPr="00AD6029">
        <w:rPr>
          <w:b/>
          <w:bCs/>
        </w:rPr>
        <w:t>方法別:</w:t>
      </w:r>
      <w:r w:rsidRPr="00AD6029">
        <w:t xml:space="preserve"> 分子遺伝学的検査、細胞遺伝学的遺伝子検査、染色体遺伝子検査、生化学的遺伝子検査、その他</w:t>
      </w:r>
    </w:p>
    <w:p w14:paraId="08ED040C" w14:textId="699CD644" w:rsidR="00AD6029" w:rsidRPr="00AD6029" w:rsidRDefault="00AD6029" w:rsidP="00AD6029">
      <w:pPr>
        <w:numPr>
          <w:ilvl w:val="0"/>
          <w:numId w:val="2"/>
        </w:numPr>
      </w:pPr>
      <w:r w:rsidRPr="00AD6029">
        <w:rPr>
          <w:b/>
          <w:bCs/>
        </w:rPr>
        <w:t>エンドユーザー別:</w:t>
      </w:r>
      <w:r w:rsidRPr="00AD6029">
        <w:t xml:space="preserve"> 病院、臨床検査室、その他</w:t>
      </w:r>
    </w:p>
    <w:p w14:paraId="07C0FF27" w14:textId="40D4E71D" w:rsidR="00AD6029" w:rsidRPr="00AD6029" w:rsidRDefault="00AD6029" w:rsidP="00AD6029">
      <w:pPr>
        <w:numPr>
          <w:ilvl w:val="0"/>
          <w:numId w:val="2"/>
        </w:numPr>
      </w:pPr>
      <w:r w:rsidRPr="00AD6029">
        <w:rPr>
          <w:b/>
          <w:bCs/>
        </w:rPr>
        <w:lastRenderedPageBreak/>
        <w:t>地域別:</w:t>
      </w:r>
      <w:r w:rsidRPr="00AD6029">
        <w:t xml:space="preserve"> 北米、ヨーロッパ、アジア太平洋、ラテンアメリカ、中東、アフリカ</w:t>
      </w:r>
    </w:p>
    <w:p w14:paraId="120936E4" w14:textId="77777777" w:rsidR="00AD6029" w:rsidRPr="00AD6029" w:rsidRDefault="00AD6029" w:rsidP="00AD6029">
      <w:r w:rsidRPr="00AD6029">
        <w:rPr>
          <w:b/>
          <w:bCs/>
        </w:rPr>
        <w:t>地域別インサイト:</w:t>
      </w:r>
    </w:p>
    <w:p w14:paraId="068B7364" w14:textId="42B31967" w:rsidR="00AD6029" w:rsidRPr="00AD6029" w:rsidRDefault="00AD6029" w:rsidP="00AD6029">
      <w:pPr>
        <w:numPr>
          <w:ilvl w:val="0"/>
          <w:numId w:val="3"/>
        </w:numPr>
      </w:pPr>
      <w:r w:rsidRPr="00AD6029">
        <w:rPr>
          <w:b/>
          <w:bCs/>
        </w:rPr>
        <w:t>北米:</w:t>
      </w:r>
      <w:r w:rsidRPr="00AD6029">
        <w:t xml:space="preserve"> 高度な医療インフラ、遺伝子検査の高い採用、および主要な市場プレーヤーの存在により、市場をリードしています。</w:t>
      </w:r>
    </w:p>
    <w:p w14:paraId="2ED67D66" w14:textId="6BE26466" w:rsidR="00AD6029" w:rsidRPr="00AD6029" w:rsidRDefault="00AD6029" w:rsidP="00AD6029">
      <w:pPr>
        <w:numPr>
          <w:ilvl w:val="0"/>
          <w:numId w:val="3"/>
        </w:numPr>
      </w:pPr>
      <w:r w:rsidRPr="00AD6029">
        <w:rPr>
          <w:b/>
          <w:bCs/>
        </w:rPr>
        <w:t>アジア太平洋地域:</w:t>
      </w:r>
      <w:r w:rsidRPr="00AD6029">
        <w:t xml:space="preserve"> ヘルスケアに対する意識の高まり、可処分所得の増加、医療ツーリズムの拡大により、大幅な成長が見込まれています。</w:t>
      </w:r>
    </w:p>
    <w:p w14:paraId="7007A7F3" w14:textId="77777777" w:rsidR="00AD6029" w:rsidRPr="00AD6029" w:rsidRDefault="00AD6029" w:rsidP="00AD6029">
      <w:pPr>
        <w:rPr>
          <w:b/>
          <w:bCs/>
        </w:rPr>
      </w:pPr>
      <w:r w:rsidRPr="00AD6029">
        <w:rPr>
          <w:b/>
          <w:bCs/>
        </w:rPr>
        <w:t>遺伝子検査市場のトッププレーヤー</w:t>
      </w:r>
    </w:p>
    <w:p w14:paraId="70C31B79" w14:textId="77777777" w:rsidR="00AD6029" w:rsidRPr="00AD6029" w:rsidRDefault="00AD6029" w:rsidP="00AD6029">
      <w:pPr>
        <w:pStyle w:val="ListParagraph"/>
        <w:numPr>
          <w:ilvl w:val="0"/>
          <w:numId w:val="4"/>
        </w:numPr>
      </w:pPr>
      <w:r w:rsidRPr="00AD6029">
        <w:t xml:space="preserve">Illumina, Inc.(米国) </w:t>
      </w:r>
    </w:p>
    <w:p w14:paraId="0801D717" w14:textId="77777777" w:rsidR="00AD6029" w:rsidRPr="00AD6029" w:rsidRDefault="00AD6029" w:rsidP="00AD6029">
      <w:pPr>
        <w:pStyle w:val="ListParagraph"/>
        <w:numPr>
          <w:ilvl w:val="0"/>
          <w:numId w:val="4"/>
        </w:numPr>
      </w:pPr>
      <w:r w:rsidRPr="00AD6029">
        <w:t xml:space="preserve">Roche Holding AG (スイス) </w:t>
      </w:r>
    </w:p>
    <w:p w14:paraId="49A530A5" w14:textId="77777777" w:rsidR="00AD6029" w:rsidRPr="00AD6029" w:rsidRDefault="00AD6029" w:rsidP="00AD6029">
      <w:pPr>
        <w:pStyle w:val="ListParagraph"/>
        <w:numPr>
          <w:ilvl w:val="0"/>
          <w:numId w:val="4"/>
        </w:numPr>
      </w:pPr>
      <w:proofErr w:type="spellStart"/>
      <w:r w:rsidRPr="00AD6029">
        <w:t>Thermo</w:t>
      </w:r>
      <w:proofErr w:type="spellEnd"/>
      <w:r w:rsidRPr="00AD6029">
        <w:t xml:space="preserve"> Fisher Scientific Inc.(</w:t>
      </w:r>
      <w:proofErr w:type="spellStart"/>
      <w:r w:rsidRPr="00AD6029">
        <w:t>米国</w:t>
      </w:r>
      <w:proofErr w:type="spellEnd"/>
      <w:r w:rsidRPr="00AD6029">
        <w:t xml:space="preserve">) </w:t>
      </w:r>
    </w:p>
    <w:p w14:paraId="614818FC" w14:textId="77777777" w:rsidR="00AD6029" w:rsidRPr="00AD6029" w:rsidRDefault="00AD6029" w:rsidP="00AD6029">
      <w:pPr>
        <w:pStyle w:val="ListParagraph"/>
        <w:numPr>
          <w:ilvl w:val="0"/>
          <w:numId w:val="4"/>
        </w:numPr>
      </w:pPr>
      <w:r w:rsidRPr="00AD6029">
        <w:t xml:space="preserve">QIAGEN N.V. (オランダ) </w:t>
      </w:r>
    </w:p>
    <w:p w14:paraId="25F35CBB" w14:textId="77777777" w:rsidR="00AD6029" w:rsidRPr="00AD6029" w:rsidRDefault="00AD6029" w:rsidP="00AD6029">
      <w:pPr>
        <w:pStyle w:val="ListParagraph"/>
        <w:numPr>
          <w:ilvl w:val="0"/>
          <w:numId w:val="4"/>
        </w:numPr>
      </w:pPr>
      <w:r w:rsidRPr="00AD6029">
        <w:t xml:space="preserve">アボットラボラトリーズ(米国) </w:t>
      </w:r>
    </w:p>
    <w:p w14:paraId="04393BF7" w14:textId="77777777" w:rsidR="00AD6029" w:rsidRPr="00AD6029" w:rsidRDefault="00AD6029" w:rsidP="00AD6029">
      <w:pPr>
        <w:pStyle w:val="ListParagraph"/>
        <w:numPr>
          <w:ilvl w:val="0"/>
          <w:numId w:val="4"/>
        </w:numPr>
      </w:pPr>
      <w:r w:rsidRPr="00AD6029">
        <w:t xml:space="preserve">Agilent Technologies, Inc.(米国) </w:t>
      </w:r>
    </w:p>
    <w:p w14:paraId="22BE37E4" w14:textId="77777777" w:rsidR="00AD6029" w:rsidRPr="00AD6029" w:rsidRDefault="00AD6029" w:rsidP="00AD6029">
      <w:pPr>
        <w:pStyle w:val="ListParagraph"/>
        <w:numPr>
          <w:ilvl w:val="0"/>
          <w:numId w:val="4"/>
        </w:numPr>
      </w:pPr>
      <w:r w:rsidRPr="00AD6029">
        <w:t xml:space="preserve">Bio-Rad Laboratories, Inc. (米国) </w:t>
      </w:r>
    </w:p>
    <w:p w14:paraId="7672F267" w14:textId="77777777" w:rsidR="00AD6029" w:rsidRPr="00AD6029" w:rsidRDefault="00AD6029" w:rsidP="00AD6029">
      <w:pPr>
        <w:pStyle w:val="ListParagraph"/>
        <w:numPr>
          <w:ilvl w:val="0"/>
          <w:numId w:val="4"/>
        </w:numPr>
      </w:pPr>
      <w:r w:rsidRPr="00AD6029">
        <w:t xml:space="preserve">ダナハーコーポレーション(米国) </w:t>
      </w:r>
    </w:p>
    <w:p w14:paraId="32CA4BAF" w14:textId="77777777" w:rsidR="00AD6029" w:rsidRPr="00AD6029" w:rsidRDefault="00AD6029" w:rsidP="00AD6029">
      <w:pPr>
        <w:pStyle w:val="ListParagraph"/>
        <w:numPr>
          <w:ilvl w:val="0"/>
          <w:numId w:val="4"/>
        </w:numPr>
      </w:pPr>
      <w:r w:rsidRPr="00AD6029">
        <w:t xml:space="preserve">Myriad Genetics, Inc.(米国) </w:t>
      </w:r>
    </w:p>
    <w:p w14:paraId="15C65291" w14:textId="77777777" w:rsidR="00AD6029" w:rsidRPr="00AD6029" w:rsidRDefault="00AD6029" w:rsidP="00AD6029">
      <w:pPr>
        <w:pStyle w:val="ListParagraph"/>
        <w:numPr>
          <w:ilvl w:val="0"/>
          <w:numId w:val="4"/>
        </w:numPr>
      </w:pPr>
      <w:r w:rsidRPr="00AD6029">
        <w:t xml:space="preserve">23andMe, Inc.(米国) </w:t>
      </w:r>
    </w:p>
    <w:p w14:paraId="745A3DEB" w14:textId="77777777" w:rsidR="00AD6029" w:rsidRPr="00AD6029" w:rsidRDefault="00AD6029" w:rsidP="00AD6029">
      <w:pPr>
        <w:pStyle w:val="ListParagraph"/>
        <w:numPr>
          <w:ilvl w:val="0"/>
          <w:numId w:val="4"/>
        </w:numPr>
      </w:pPr>
      <w:proofErr w:type="spellStart"/>
      <w:r w:rsidRPr="00AD6029">
        <w:t>Invitae</w:t>
      </w:r>
      <w:proofErr w:type="spellEnd"/>
      <w:r w:rsidRPr="00AD6029">
        <w:t xml:space="preserve"> Corporation (</w:t>
      </w:r>
      <w:proofErr w:type="spellStart"/>
      <w:r w:rsidRPr="00AD6029">
        <w:t>米国</w:t>
      </w:r>
      <w:proofErr w:type="spellEnd"/>
      <w:r w:rsidRPr="00AD6029">
        <w:t xml:space="preserve">) </w:t>
      </w:r>
    </w:p>
    <w:p w14:paraId="450657E2" w14:textId="77777777" w:rsidR="00AD6029" w:rsidRPr="00AD6029" w:rsidRDefault="00AD6029" w:rsidP="00AD6029">
      <w:pPr>
        <w:pStyle w:val="ListParagraph"/>
        <w:numPr>
          <w:ilvl w:val="0"/>
          <w:numId w:val="4"/>
        </w:numPr>
      </w:pPr>
      <w:r w:rsidRPr="00AD6029">
        <w:t xml:space="preserve">Natera, Inc.(米国) </w:t>
      </w:r>
    </w:p>
    <w:p w14:paraId="1F664827" w14:textId="77777777" w:rsidR="00AD6029" w:rsidRPr="00AD6029" w:rsidRDefault="00AD6029" w:rsidP="00AD6029">
      <w:pPr>
        <w:pStyle w:val="ListParagraph"/>
        <w:numPr>
          <w:ilvl w:val="0"/>
          <w:numId w:val="4"/>
        </w:numPr>
      </w:pPr>
      <w:proofErr w:type="spellStart"/>
      <w:r w:rsidRPr="00AD6029">
        <w:t>NeoGenomics</w:t>
      </w:r>
      <w:proofErr w:type="spellEnd"/>
      <w:r w:rsidRPr="00AD6029">
        <w:t>, Inc.(</w:t>
      </w:r>
      <w:proofErr w:type="spellStart"/>
      <w:r w:rsidRPr="00AD6029">
        <w:t>米国</w:t>
      </w:r>
      <w:proofErr w:type="spellEnd"/>
      <w:r w:rsidRPr="00AD6029">
        <w:t xml:space="preserve">) </w:t>
      </w:r>
    </w:p>
    <w:p w14:paraId="31EACBD9" w14:textId="77777777" w:rsidR="00AD6029" w:rsidRPr="00AD6029" w:rsidRDefault="00AD6029" w:rsidP="00AD6029">
      <w:pPr>
        <w:pStyle w:val="ListParagraph"/>
        <w:numPr>
          <w:ilvl w:val="0"/>
          <w:numId w:val="4"/>
        </w:numPr>
      </w:pPr>
      <w:r w:rsidRPr="00AD6029">
        <w:t xml:space="preserve">Guardant Health, Inc.(米国) </w:t>
      </w:r>
    </w:p>
    <w:p w14:paraId="179B08D8" w14:textId="77777777" w:rsidR="00AD6029" w:rsidRPr="00AD6029" w:rsidRDefault="00AD6029" w:rsidP="00AD6029">
      <w:pPr>
        <w:pStyle w:val="ListParagraph"/>
        <w:numPr>
          <w:ilvl w:val="0"/>
          <w:numId w:val="4"/>
        </w:numPr>
      </w:pPr>
      <w:r w:rsidRPr="00AD6029">
        <w:t xml:space="preserve">Siemens Healthineers AG(ドイツ) </w:t>
      </w:r>
    </w:p>
    <w:p w14:paraId="31AF051C" w14:textId="77777777" w:rsidR="00AD6029" w:rsidRPr="00AD6029" w:rsidRDefault="00AD6029" w:rsidP="00AD6029">
      <w:pPr>
        <w:pStyle w:val="ListParagraph"/>
        <w:numPr>
          <w:ilvl w:val="0"/>
          <w:numId w:val="4"/>
        </w:numPr>
      </w:pPr>
      <w:r w:rsidRPr="00AD6029">
        <w:t xml:space="preserve">Hologic, Inc.(米国) </w:t>
      </w:r>
    </w:p>
    <w:p w14:paraId="2263D752" w14:textId="77777777" w:rsidR="00AD6029" w:rsidRPr="00AD6029" w:rsidRDefault="00AD6029" w:rsidP="00AD6029">
      <w:pPr>
        <w:pStyle w:val="ListParagraph"/>
        <w:numPr>
          <w:ilvl w:val="0"/>
          <w:numId w:val="4"/>
        </w:numPr>
      </w:pPr>
      <w:r w:rsidRPr="00AD6029">
        <w:t xml:space="preserve">BGI Genomics Co., Ltd.(中国) </w:t>
      </w:r>
    </w:p>
    <w:p w14:paraId="6B481797" w14:textId="77777777" w:rsidR="00AD6029" w:rsidRPr="00AD6029" w:rsidRDefault="00AD6029" w:rsidP="00AD6029">
      <w:pPr>
        <w:pStyle w:val="ListParagraph"/>
        <w:numPr>
          <w:ilvl w:val="0"/>
          <w:numId w:val="4"/>
        </w:numPr>
      </w:pPr>
      <w:r w:rsidRPr="00AD6029">
        <w:t xml:space="preserve">ユーロフィン・サイエンティフィック(ルクセンブルク) </w:t>
      </w:r>
    </w:p>
    <w:p w14:paraId="66214094" w14:textId="47BDDB8A" w:rsidR="00AD6029" w:rsidRPr="00AD6029" w:rsidRDefault="00AD6029" w:rsidP="00AD6029">
      <w:pPr>
        <w:pStyle w:val="ListParagraph"/>
        <w:numPr>
          <w:ilvl w:val="0"/>
          <w:numId w:val="4"/>
        </w:numPr>
      </w:pPr>
      <w:r w:rsidRPr="00AD6029">
        <w:t>アダプティブ・バイオテクノロジーズ・コーポレーション(米国)</w:t>
      </w:r>
    </w:p>
    <w:p w14:paraId="5E041D92" w14:textId="77777777" w:rsidR="00AD6029" w:rsidRPr="00AD6029" w:rsidRDefault="00AD6029" w:rsidP="00AD6029">
      <w:pPr>
        <w:rPr>
          <w:b/>
          <w:bCs/>
        </w:rPr>
      </w:pPr>
      <w:r w:rsidRPr="00AD6029">
        <w:rPr>
          <w:b/>
          <w:bCs/>
        </w:rPr>
        <w:t>遺伝子検査:主な市場動向</w:t>
      </w:r>
    </w:p>
    <w:p w14:paraId="186400D4" w14:textId="5EEF5A35" w:rsidR="00AD6029" w:rsidRPr="00AD6029" w:rsidRDefault="00AD6029" w:rsidP="00AD6029">
      <w:r w:rsidRPr="00AD6029">
        <w:t>DNAを超えた遺伝子検査:今日、遺伝子検査はDNAの検査だけでなく、それ以上のものとなっています。遺伝子検査は、DNAの「コード」を変更するのではなく、コードの理解とヒト細胞内での適用方法に影響を与えるRNAおよびエピジェネティックな変化を含むように拡大しています。これにより、遺伝的変異の検出が向上するだけでなく、これらの変異と個人の健康に対するそれらの重要性を理解するのにも役立ちます。</w:t>
      </w:r>
    </w:p>
    <w:p w14:paraId="75958320" w14:textId="4195517D" w:rsidR="00AD6029" w:rsidRPr="00AD6029" w:rsidRDefault="00AD6029" w:rsidP="00AD6029">
      <w:r w:rsidRPr="00AD6029">
        <w:rPr>
          <w:b/>
          <w:bCs/>
        </w:rPr>
        <w:lastRenderedPageBreak/>
        <w:t>今後の見通し:</w:t>
      </w:r>
    </w:p>
    <w:p w14:paraId="03D45100" w14:textId="6732910B" w:rsidR="00AD6029" w:rsidRPr="00AD6029" w:rsidRDefault="00AD6029" w:rsidP="00AD6029">
      <w:r w:rsidRPr="00AD6029">
        <w:t>遺伝子検査市場は、技術の進歩、消費者の関心の高まり、遺伝子検査の日常的な医療行為への統合に牽引されて、堅調な成長軌道を続けると予想されています。</w:t>
      </w:r>
    </w:p>
    <w:p w14:paraId="03340F8C" w14:textId="77A58072" w:rsidR="00AD6029" w:rsidRDefault="00AD6029" w:rsidP="00AD6029">
      <w:r w:rsidRPr="00AD6029">
        <w:t xml:space="preserve">包括的な分析については、SkyQuest Technologyによるレポート全文を参照してください </w:t>
      </w:r>
      <w:hyperlink r:id="rId6" w:history="1">
        <w:r w:rsidR="005B5122" w:rsidRPr="000E6509">
          <w:rPr>
            <w:rStyle w:val="Hyperlink"/>
          </w:rPr>
          <w:t>https://www.skyquestt.com/report/genetic-testing-market</w:t>
        </w:r>
      </w:hyperlink>
      <w:r w:rsidR="005B5122">
        <w:t xml:space="preserve"> </w:t>
      </w:r>
      <w:r w:rsidRPr="00AD6029">
        <w:t xml:space="preserve"> </w:t>
      </w:r>
      <w:hyperlink r:id="rId7" w:history="1"/>
      <w:r>
        <w:t xml:space="preserve"> </w:t>
      </w:r>
    </w:p>
    <w:p w14:paraId="4BCDFC98" w14:textId="15AF4DC4" w:rsidR="00D73658" w:rsidRDefault="00D73658" w:rsidP="00AD6029">
      <w:r>
        <w:t>あなたも好きかもしれません:</w:t>
      </w:r>
    </w:p>
    <w:p w14:paraId="36B2AA43" w14:textId="6F6383A4" w:rsidR="00186AF7" w:rsidRDefault="00186AF7" w:rsidP="00186AF7">
      <w:pPr>
        <w:rPr>
          <w:rFonts w:ascii="Calibri" w:eastAsia="Times New Roman" w:hAnsi="Calibri" w:cs="Calibri"/>
          <w:color w:val="000000"/>
          <w:kern w:val="0"/>
          <w:sz w:val="22"/>
          <w:szCs w:val="22"/>
          <w14:ligatures w14:val="none"/>
        </w:rPr>
      </w:pPr>
      <w:r w:rsidRPr="00186AF7">
        <w:rPr>
          <w:rFonts w:ascii="Calibri" w:eastAsia="Times New Roman" w:hAnsi="Calibri" w:cs="Calibri"/>
          <w:color w:val="9C0006"/>
          <w:kern w:val="0"/>
          <w:sz w:val="22"/>
          <w:szCs w:val="22"/>
          <w14:ligatures w14:val="none"/>
        </w:rPr>
        <w:t xml:space="preserve">セラミックス市場 - </w:t>
      </w:r>
      <w:hyperlink r:id="rId8" w:history="1">
        <w:r w:rsidRPr="000E6509">
          <w:rPr>
            <w:rStyle w:val="Hyperlink"/>
            <w:rFonts w:ascii="Calibri" w:eastAsia="Times New Roman" w:hAnsi="Calibri" w:cs="Calibri"/>
            <w:kern w:val="0"/>
            <w:sz w:val="22"/>
            <w:szCs w:val="22"/>
            <w14:ligatures w14:val="none"/>
          </w:rPr>
          <w:t>https://vinitsawant.hatenablog.com/entry/2025/04/21/210046</w:t>
        </w:r>
      </w:hyperlink>
      <w:r>
        <w:rPr>
          <w:rFonts w:ascii="Calibri" w:eastAsia="Times New Roman" w:hAnsi="Calibri" w:cs="Calibri"/>
          <w:color w:val="000000"/>
          <w:kern w:val="0"/>
          <w:sz w:val="22"/>
          <w:szCs w:val="22"/>
          <w14:ligatures w14:val="none"/>
        </w:rPr>
        <w:t xml:space="preserve"> </w:t>
      </w:r>
    </w:p>
    <w:p w14:paraId="5DCC382F" w14:textId="2B47EC6F" w:rsidR="00186AF7" w:rsidRPr="00186AF7" w:rsidRDefault="00186AF7" w:rsidP="00186AF7">
      <w:pPr>
        <w:rPr>
          <w:rFonts w:ascii="Calibri" w:eastAsia="Times New Roman" w:hAnsi="Calibri" w:cs="Calibri"/>
          <w:color w:val="000000"/>
          <w:kern w:val="0"/>
          <w:sz w:val="22"/>
          <w:szCs w:val="22"/>
          <w14:ligatures w14:val="none"/>
        </w:rPr>
      </w:pPr>
      <w:r w:rsidRPr="00186AF7">
        <w:rPr>
          <w:rFonts w:ascii="Calibri" w:eastAsia="Times New Roman" w:hAnsi="Calibri" w:cs="Calibri"/>
          <w:color w:val="000000"/>
          <w:kern w:val="0"/>
          <w:sz w:val="22"/>
          <w:szCs w:val="22"/>
          <w14:ligatures w14:val="none"/>
        </w:rPr>
        <w:t xml:space="preserve">ヘルスケアIT市場 - </w:t>
      </w:r>
      <w:hyperlink r:id="rId9" w:history="1">
        <w:r w:rsidRPr="000E6509">
          <w:rPr>
            <w:rStyle w:val="Hyperlink"/>
            <w:rFonts w:ascii="Calibri" w:eastAsia="Times New Roman" w:hAnsi="Calibri" w:cs="Calibri"/>
            <w:kern w:val="0"/>
            <w:sz w:val="22"/>
            <w:szCs w:val="22"/>
            <w14:ligatures w14:val="none"/>
          </w:rPr>
          <w:t>https://vinitsawant.hatenablog.com/entry/2025/04/17/191223</w:t>
        </w:r>
      </w:hyperlink>
      <w:r>
        <w:rPr>
          <w:rFonts w:ascii="Calibri" w:eastAsia="Times New Roman" w:hAnsi="Calibri" w:cs="Calibri"/>
          <w:color w:val="000000"/>
          <w:kern w:val="0"/>
          <w:sz w:val="22"/>
          <w:szCs w:val="22"/>
          <w14:ligatures w14:val="none"/>
        </w:rPr>
        <w:t xml:space="preserve"> </w:t>
      </w:r>
    </w:p>
    <w:p w14:paraId="529C79B8" w14:textId="766A2EAD" w:rsidR="00186AF7" w:rsidRPr="00186AF7" w:rsidRDefault="00186AF7" w:rsidP="00186AF7">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 </w:t>
      </w:r>
    </w:p>
    <w:p w14:paraId="1F9A6CBC" w14:textId="111C0C60" w:rsidR="00D73658" w:rsidRPr="00186AF7" w:rsidRDefault="00D73658" w:rsidP="00186AF7">
      <w:pPr>
        <w:spacing w:after="0" w:line="240" w:lineRule="auto"/>
        <w:rPr>
          <w:rFonts w:ascii="Calibri" w:eastAsia="Times New Roman" w:hAnsi="Calibri" w:cs="Calibri"/>
          <w:color w:val="9C0006"/>
          <w:kern w:val="0"/>
          <w:sz w:val="22"/>
          <w:szCs w:val="22"/>
          <w14:ligatures w14:val="none"/>
        </w:rPr>
      </w:pPr>
    </w:p>
    <w:p w14:paraId="6094A41A" w14:textId="042738D4" w:rsidR="004D40C5" w:rsidRDefault="004D40C5"/>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1052"/>
    <w:multiLevelType w:val="multilevel"/>
    <w:tmpl w:val="8908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E4154"/>
    <w:multiLevelType w:val="hybridMultilevel"/>
    <w:tmpl w:val="041C2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C86B2F"/>
    <w:multiLevelType w:val="multilevel"/>
    <w:tmpl w:val="8562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E851D1"/>
    <w:multiLevelType w:val="multilevel"/>
    <w:tmpl w:val="10D0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2031009">
    <w:abstractNumId w:val="0"/>
  </w:num>
  <w:num w:numId="2" w16cid:durableId="1673489057">
    <w:abstractNumId w:val="2"/>
  </w:num>
  <w:num w:numId="3" w16cid:durableId="6949348">
    <w:abstractNumId w:val="3"/>
  </w:num>
  <w:num w:numId="4" w16cid:durableId="1658605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029"/>
    <w:rsid w:val="00186AF7"/>
    <w:rsid w:val="001D01DB"/>
    <w:rsid w:val="00274CDA"/>
    <w:rsid w:val="004D40C5"/>
    <w:rsid w:val="005B5122"/>
    <w:rsid w:val="005E53DA"/>
    <w:rsid w:val="00A06360"/>
    <w:rsid w:val="00AD6029"/>
    <w:rsid w:val="00B354D8"/>
    <w:rsid w:val="00B71D3F"/>
    <w:rsid w:val="00BB68BD"/>
    <w:rsid w:val="00C15B33"/>
    <w:rsid w:val="00D73658"/>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2CA89"/>
  <w15:chartTrackingRefBased/>
  <w15:docId w15:val="{2DDE5368-675C-4CC2-A368-60DCB51D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60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60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60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60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60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60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0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0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0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0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60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60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60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60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60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0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0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029"/>
    <w:rPr>
      <w:rFonts w:eastAsiaTheme="majorEastAsia" w:cstheme="majorBidi"/>
      <w:color w:val="272727" w:themeColor="text1" w:themeTint="D8"/>
    </w:rPr>
  </w:style>
  <w:style w:type="paragraph" w:styleId="Title">
    <w:name w:val="Title"/>
    <w:basedOn w:val="Normal"/>
    <w:next w:val="Normal"/>
    <w:link w:val="TitleChar"/>
    <w:uiPriority w:val="10"/>
    <w:qFormat/>
    <w:rsid w:val="00AD60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0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0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0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029"/>
    <w:pPr>
      <w:spacing w:before="160"/>
      <w:jc w:val="center"/>
    </w:pPr>
    <w:rPr>
      <w:i/>
      <w:iCs/>
      <w:color w:val="404040" w:themeColor="text1" w:themeTint="BF"/>
    </w:rPr>
  </w:style>
  <w:style w:type="character" w:customStyle="1" w:styleId="QuoteChar">
    <w:name w:val="Quote Char"/>
    <w:basedOn w:val="DefaultParagraphFont"/>
    <w:link w:val="Quote"/>
    <w:uiPriority w:val="29"/>
    <w:rsid w:val="00AD6029"/>
    <w:rPr>
      <w:i/>
      <w:iCs/>
      <w:color w:val="404040" w:themeColor="text1" w:themeTint="BF"/>
    </w:rPr>
  </w:style>
  <w:style w:type="paragraph" w:styleId="ListParagraph">
    <w:name w:val="List Paragraph"/>
    <w:basedOn w:val="Normal"/>
    <w:uiPriority w:val="34"/>
    <w:qFormat/>
    <w:rsid w:val="00AD6029"/>
    <w:pPr>
      <w:ind w:left="720"/>
      <w:contextualSpacing/>
    </w:pPr>
  </w:style>
  <w:style w:type="character" w:styleId="IntenseEmphasis">
    <w:name w:val="Intense Emphasis"/>
    <w:basedOn w:val="DefaultParagraphFont"/>
    <w:uiPriority w:val="21"/>
    <w:qFormat/>
    <w:rsid w:val="00AD6029"/>
    <w:rPr>
      <w:i/>
      <w:iCs/>
      <w:color w:val="2F5496" w:themeColor="accent1" w:themeShade="BF"/>
    </w:rPr>
  </w:style>
  <w:style w:type="paragraph" w:styleId="IntenseQuote">
    <w:name w:val="Intense Quote"/>
    <w:basedOn w:val="Normal"/>
    <w:next w:val="Normal"/>
    <w:link w:val="IntenseQuoteChar"/>
    <w:uiPriority w:val="30"/>
    <w:qFormat/>
    <w:rsid w:val="00AD60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6029"/>
    <w:rPr>
      <w:i/>
      <w:iCs/>
      <w:color w:val="2F5496" w:themeColor="accent1" w:themeShade="BF"/>
    </w:rPr>
  </w:style>
  <w:style w:type="character" w:styleId="IntenseReference">
    <w:name w:val="Intense Reference"/>
    <w:basedOn w:val="DefaultParagraphFont"/>
    <w:uiPriority w:val="32"/>
    <w:qFormat/>
    <w:rsid w:val="00AD6029"/>
    <w:rPr>
      <w:b/>
      <w:bCs/>
      <w:smallCaps/>
      <w:color w:val="2F5496" w:themeColor="accent1" w:themeShade="BF"/>
      <w:spacing w:val="5"/>
    </w:rPr>
  </w:style>
  <w:style w:type="character" w:styleId="Hyperlink">
    <w:name w:val="Hyperlink"/>
    <w:basedOn w:val="DefaultParagraphFont"/>
    <w:uiPriority w:val="99"/>
    <w:unhideWhenUsed/>
    <w:rsid w:val="00AD6029"/>
    <w:rPr>
      <w:color w:val="0563C1" w:themeColor="hyperlink"/>
      <w:u w:val="single"/>
    </w:rPr>
  </w:style>
  <w:style w:type="character" w:styleId="UnresolvedMention">
    <w:name w:val="Unresolved Mention"/>
    <w:basedOn w:val="DefaultParagraphFont"/>
    <w:uiPriority w:val="99"/>
    <w:semiHidden/>
    <w:unhideWhenUsed/>
    <w:rsid w:val="00AD6029"/>
    <w:rPr>
      <w:color w:val="605E5C"/>
      <w:shd w:val="clear" w:color="auto" w:fill="E1DFDD"/>
    </w:rPr>
  </w:style>
  <w:style w:type="character" w:styleId="PlaceholderText">
    <w:name w:val="Placeholder Text"/>
    <w:basedOn w:val="DefaultParagraphFont"/>
    <w:uiPriority w:val="99"/>
    <w:semiHidden/>
    <w:rsid w:val="005B512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234839">
      <w:bodyDiv w:val="1"/>
      <w:marLeft w:val="0"/>
      <w:marRight w:val="0"/>
      <w:marTop w:val="0"/>
      <w:marBottom w:val="0"/>
      <w:divBdr>
        <w:top w:val="none" w:sz="0" w:space="0" w:color="auto"/>
        <w:left w:val="none" w:sz="0" w:space="0" w:color="auto"/>
        <w:bottom w:val="none" w:sz="0" w:space="0" w:color="auto"/>
        <w:right w:val="none" w:sz="0" w:space="0" w:color="auto"/>
      </w:divBdr>
    </w:div>
    <w:div w:id="445543401">
      <w:bodyDiv w:val="1"/>
      <w:marLeft w:val="0"/>
      <w:marRight w:val="0"/>
      <w:marTop w:val="0"/>
      <w:marBottom w:val="0"/>
      <w:divBdr>
        <w:top w:val="none" w:sz="0" w:space="0" w:color="auto"/>
        <w:left w:val="none" w:sz="0" w:space="0" w:color="auto"/>
        <w:bottom w:val="none" w:sz="0" w:space="0" w:color="auto"/>
        <w:right w:val="none" w:sz="0" w:space="0" w:color="auto"/>
      </w:divBdr>
    </w:div>
    <w:div w:id="1324818804">
      <w:bodyDiv w:val="1"/>
      <w:marLeft w:val="0"/>
      <w:marRight w:val="0"/>
      <w:marTop w:val="0"/>
      <w:marBottom w:val="0"/>
      <w:divBdr>
        <w:top w:val="none" w:sz="0" w:space="0" w:color="auto"/>
        <w:left w:val="none" w:sz="0" w:space="0" w:color="auto"/>
        <w:bottom w:val="none" w:sz="0" w:space="0" w:color="auto"/>
        <w:right w:val="none" w:sz="0" w:space="0" w:color="auto"/>
      </w:divBdr>
    </w:div>
    <w:div w:id="1360736109">
      <w:bodyDiv w:val="1"/>
      <w:marLeft w:val="0"/>
      <w:marRight w:val="0"/>
      <w:marTop w:val="0"/>
      <w:marBottom w:val="0"/>
      <w:divBdr>
        <w:top w:val="none" w:sz="0" w:space="0" w:color="auto"/>
        <w:left w:val="none" w:sz="0" w:space="0" w:color="auto"/>
        <w:bottom w:val="none" w:sz="0" w:space="0" w:color="auto"/>
        <w:right w:val="none" w:sz="0" w:space="0" w:color="auto"/>
      </w:divBdr>
    </w:div>
    <w:div w:id="1905748853">
      <w:bodyDiv w:val="1"/>
      <w:marLeft w:val="0"/>
      <w:marRight w:val="0"/>
      <w:marTop w:val="0"/>
      <w:marBottom w:val="0"/>
      <w:divBdr>
        <w:top w:val="none" w:sz="0" w:space="0" w:color="auto"/>
        <w:left w:val="none" w:sz="0" w:space="0" w:color="auto"/>
        <w:bottom w:val="none" w:sz="0" w:space="0" w:color="auto"/>
        <w:right w:val="none" w:sz="0" w:space="0" w:color="auto"/>
      </w:divBdr>
    </w:div>
    <w:div w:id="2052411649">
      <w:bodyDiv w:val="1"/>
      <w:marLeft w:val="0"/>
      <w:marRight w:val="0"/>
      <w:marTop w:val="0"/>
      <w:marBottom w:val="0"/>
      <w:divBdr>
        <w:top w:val="none" w:sz="0" w:space="0" w:color="auto"/>
        <w:left w:val="none" w:sz="0" w:space="0" w:color="auto"/>
        <w:bottom w:val="none" w:sz="0" w:space="0" w:color="auto"/>
        <w:right w:val="none" w:sz="0" w:space="0" w:color="auto"/>
      </w:divBdr>
    </w:div>
    <w:div w:id="2083332375">
      <w:bodyDiv w:val="1"/>
      <w:marLeft w:val="0"/>
      <w:marRight w:val="0"/>
      <w:marTop w:val="0"/>
      <w:marBottom w:val="0"/>
      <w:divBdr>
        <w:top w:val="none" w:sz="0" w:space="0" w:color="auto"/>
        <w:left w:val="none" w:sz="0" w:space="0" w:color="auto"/>
        <w:bottom w:val="none" w:sz="0" w:space="0" w:color="auto"/>
        <w:right w:val="none" w:sz="0" w:space="0" w:color="auto"/>
      </w:divBdr>
    </w:div>
    <w:div w:id="208444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nitsawant.hatenablog.com/entry/2025/04/21/210046" TargetMode="External"/><Relationship Id="rId3" Type="http://schemas.openxmlformats.org/officeDocument/2006/relationships/settings" Target="settings.xml"/><Relationship Id="rId7" Type="http://schemas.openxmlformats.org/officeDocument/2006/relationships/hyperlink" Target="https://www.skyquestt.com/report/genetic-testing-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genetic-testing-market" TargetMode="External"/><Relationship Id="rId11" Type="http://schemas.openxmlformats.org/officeDocument/2006/relationships/theme" Target="theme/theme1.xml"/><Relationship Id="rId5" Type="http://schemas.openxmlformats.org/officeDocument/2006/relationships/hyperlink" Target="https://www.skyquestt.com/sample-request/genetic-testing-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nitsawant.hatenablog.com/entry/2025/04/17/191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2025-04-24T12:25:00Z</dcterms:created>
  <dcterms:modified xsi:type="dcterms:W3CDTF">2025-04-24T12:25:00Z</dcterms:modified>
</cp:coreProperties>
</file>