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4149D" w14:textId="540919A8" w:rsidR="00A73DA1" w:rsidRPr="00A73DA1" w:rsidRDefault="00A73DA1" w:rsidP="00A73DA1">
      <w:r w:rsidRPr="00A73DA1">
        <w:rPr>
          <w:b/>
          <w:bCs/>
        </w:rPr>
        <w:t>ゲノム編集市場は、遺伝子治療と精密医療の進歩により、2032年までに226億9000万米ドルに達すると予測されています</w:t>
      </w:r>
    </w:p>
    <w:p w14:paraId="425ED808" w14:textId="77777777" w:rsidR="00A73DA1" w:rsidRDefault="00A73DA1" w:rsidP="00A73DA1">
      <w:r w:rsidRPr="00A73DA1">
        <w:t xml:space="preserve">ゲノム編集市場は、多くの業界プレーヤーによる適度な合併および買収活動によって特徴付けられます。これは、業界で競争上の優位性を獲得したいという願望など、いくつかの要因によるものです。例えば、2024年1月、Ginkgo BioworksはProof Diagnosticsを買収した市場を立ち上げ、Ginkgoの製品ポートフォリオを遺伝医学修復ツールに拡大しました。 </w:t>
      </w:r>
    </w:p>
    <w:p w14:paraId="4E15A026" w14:textId="77777777" w:rsidR="00A73DA1" w:rsidRPr="00A73DA1" w:rsidRDefault="00A73DA1" w:rsidP="00A73DA1">
      <w:pPr>
        <w:rPr>
          <w:b/>
          <w:bCs/>
        </w:rPr>
      </w:pPr>
      <w:r w:rsidRPr="00A73DA1">
        <w:rPr>
          <w:b/>
          <w:bCs/>
        </w:rPr>
        <w:t>ゲノム編集の市場規模は2023年に59億2000万米ドルと評価され、2024年の68億7000万米ドルから2032年までに226億9000万米ドルに成長し、予測期間(2025年から2032年)の間に16.1%のCAGRで成長する態勢を整えています。</w:t>
      </w:r>
    </w:p>
    <w:p w14:paraId="4DCAB2C4" w14:textId="5ED38657" w:rsidR="00A73DA1" w:rsidRPr="00A73DA1" w:rsidRDefault="00A73DA1" w:rsidP="00A73DA1">
      <w:r w:rsidRPr="00A73DA1">
        <w:t xml:space="preserve">今すぐ無料サンプルレポートを入手してください: </w:t>
      </w:r>
      <w:hyperlink r:id="rId5" w:history="1">
        <w:r w:rsidRPr="004A5D0C">
          <w:rPr>
            <w:rStyle w:val="Hyperlink"/>
          </w:rPr>
          <w:t>https://www.skyquestt.com/sample-request/genome-editing-market</w:t>
        </w:r>
      </w:hyperlink>
      <w:r>
        <w:t xml:space="preserve"> </w:t>
      </w:r>
    </w:p>
    <w:p w14:paraId="314B3FB2" w14:textId="77777777" w:rsidR="00A73DA1" w:rsidRPr="00A73DA1" w:rsidRDefault="00A73DA1" w:rsidP="00A73DA1">
      <w:r w:rsidRPr="00A73DA1">
        <w:rPr>
          <w:b/>
          <w:bCs/>
        </w:rPr>
        <w:t>主な市場ドライバー:</w:t>
      </w:r>
    </w:p>
    <w:p w14:paraId="2ED76A1B" w14:textId="77777777" w:rsidR="00A73DA1" w:rsidRPr="00A73DA1" w:rsidRDefault="00A73DA1" w:rsidP="00A73DA1">
      <w:pPr>
        <w:numPr>
          <w:ilvl w:val="0"/>
          <w:numId w:val="1"/>
        </w:numPr>
      </w:pPr>
      <w:r w:rsidRPr="00A73DA1">
        <w:rPr>
          <w:b/>
          <w:bCs/>
        </w:rPr>
        <w:t>遺伝子編集技術の進歩:</w:t>
      </w:r>
      <w:r w:rsidRPr="00A73DA1">
        <w:t xml:space="preserve"> CRISPR-Cas9、TALEN、ZFNなどのイノベーションは、ゲノム編集に革命をもたらし、遺伝物質を改変するための正確で効率的な方法を提供しました。</w:t>
      </w:r>
    </w:p>
    <w:p w14:paraId="190E4A81" w14:textId="77777777" w:rsidR="00A73DA1" w:rsidRPr="00A73DA1" w:rsidRDefault="00A73DA1" w:rsidP="00A73DA1">
      <w:pPr>
        <w:numPr>
          <w:ilvl w:val="0"/>
          <w:numId w:val="1"/>
        </w:numPr>
      </w:pPr>
      <w:r w:rsidRPr="00A73DA1">
        <w:rPr>
          <w:b/>
          <w:bCs/>
        </w:rPr>
        <w:t>個別化医療に対する需要の高まり:</w:t>
      </w:r>
      <w:r w:rsidRPr="00A73DA1">
        <w:t xml:space="preserve"> 遺伝性疾患や慢性疾患に対するオーダーメイドの治療法への注目が高まる中、臨床現場でのゲノム編集技術の採用が推進されています。</w:t>
      </w:r>
    </w:p>
    <w:p w14:paraId="544CEF49" w14:textId="77777777" w:rsidR="00A73DA1" w:rsidRPr="00A73DA1" w:rsidRDefault="00A73DA1" w:rsidP="00A73DA1">
      <w:pPr>
        <w:numPr>
          <w:ilvl w:val="0"/>
          <w:numId w:val="1"/>
        </w:numPr>
      </w:pPr>
      <w:r w:rsidRPr="00A73DA1">
        <w:rPr>
          <w:b/>
          <w:bCs/>
        </w:rPr>
        <w:t>研究開発投資の増加:</w:t>
      </w:r>
      <w:r w:rsidRPr="00A73DA1">
        <w:t xml:space="preserve"> 官民両セクターからの多額の資金提供により、研究活動が加速し、新しいゲノム編集アプリケーションの開発につながっています。</w:t>
      </w:r>
    </w:p>
    <w:p w14:paraId="268494BE" w14:textId="77777777" w:rsidR="00A73DA1" w:rsidRPr="00A73DA1" w:rsidRDefault="00A73DA1" w:rsidP="00A73DA1">
      <w:r w:rsidRPr="00A73DA1">
        <w:rPr>
          <w:b/>
          <w:bCs/>
        </w:rPr>
        <w:t>市場セグメンテーション:</w:t>
      </w:r>
    </w:p>
    <w:p w14:paraId="474B12F7" w14:textId="77777777" w:rsidR="00A73DA1" w:rsidRPr="00A73DA1" w:rsidRDefault="00A73DA1" w:rsidP="00A73DA1">
      <w:pPr>
        <w:numPr>
          <w:ilvl w:val="0"/>
          <w:numId w:val="2"/>
        </w:numPr>
      </w:pPr>
      <w:r w:rsidRPr="00A73DA1">
        <w:rPr>
          <w:b/>
          <w:bCs/>
        </w:rPr>
        <w:t>技術別:</w:t>
      </w:r>
      <w:r w:rsidRPr="00A73DA1">
        <w:t xml:space="preserve"> CRISPR-Cas9、TALENs、ZFNs、その他</w:t>
      </w:r>
    </w:p>
    <w:p w14:paraId="262374AF" w14:textId="77777777" w:rsidR="00A73DA1" w:rsidRPr="00A73DA1" w:rsidRDefault="00A73DA1" w:rsidP="00A73DA1">
      <w:pPr>
        <w:numPr>
          <w:ilvl w:val="0"/>
          <w:numId w:val="2"/>
        </w:numPr>
      </w:pPr>
      <w:r w:rsidRPr="00A73DA1">
        <w:rPr>
          <w:b/>
          <w:bCs/>
        </w:rPr>
        <w:t>アプリケーション別:</w:t>
      </w:r>
      <w:r w:rsidRPr="00A73DA1">
        <w:t xml:space="preserve"> 遺伝子工学、細胞株工学、創薬、その他</w:t>
      </w:r>
    </w:p>
    <w:p w14:paraId="39402714" w14:textId="77777777" w:rsidR="00A73DA1" w:rsidRPr="00A73DA1" w:rsidRDefault="00A73DA1" w:rsidP="00A73DA1">
      <w:pPr>
        <w:numPr>
          <w:ilvl w:val="0"/>
          <w:numId w:val="2"/>
        </w:numPr>
      </w:pPr>
      <w:r w:rsidRPr="00A73DA1">
        <w:rPr>
          <w:b/>
          <w:bCs/>
        </w:rPr>
        <w:t>エンドユーザー別:</w:t>
      </w:r>
      <w:r w:rsidRPr="00A73DA1">
        <w:t xml:space="preserve"> 製薬およびバイオテクノロジー企業、学術研究機関、医薬品開発業務受託機関(CRO)</w:t>
      </w:r>
    </w:p>
    <w:p w14:paraId="6D280B5F" w14:textId="77777777" w:rsidR="00A73DA1" w:rsidRPr="00A73DA1" w:rsidRDefault="00A73DA1" w:rsidP="00A73DA1">
      <w:pPr>
        <w:numPr>
          <w:ilvl w:val="0"/>
          <w:numId w:val="2"/>
        </w:numPr>
      </w:pPr>
      <w:r w:rsidRPr="00A73DA1">
        <w:rPr>
          <w:b/>
          <w:bCs/>
        </w:rPr>
        <w:t>地域別:</w:t>
      </w:r>
      <w:r w:rsidRPr="00A73DA1">
        <w:t xml:space="preserve"> 北米、ヨーロッパ、アジア太平洋、ラテンアメリカ、中東、アフリカ</w:t>
      </w:r>
    </w:p>
    <w:p w14:paraId="344924F0" w14:textId="77777777" w:rsidR="00A73DA1" w:rsidRPr="00A73DA1" w:rsidRDefault="00A73DA1" w:rsidP="00A73DA1">
      <w:r w:rsidRPr="00A73DA1">
        <w:rPr>
          <w:b/>
          <w:bCs/>
        </w:rPr>
        <w:t>地域別インサイト:</w:t>
      </w:r>
    </w:p>
    <w:p w14:paraId="751AD48A" w14:textId="77777777" w:rsidR="00A73DA1" w:rsidRPr="00A73DA1" w:rsidRDefault="00A73DA1" w:rsidP="00A73DA1">
      <w:pPr>
        <w:numPr>
          <w:ilvl w:val="0"/>
          <w:numId w:val="3"/>
        </w:numPr>
      </w:pPr>
      <w:r w:rsidRPr="00A73DA1">
        <w:rPr>
          <w:b/>
          <w:bCs/>
        </w:rPr>
        <w:lastRenderedPageBreak/>
        <w:t>北米:</w:t>
      </w:r>
      <w:r w:rsidRPr="00A73DA1">
        <w:t xml:space="preserve"> 高度な医療インフラ、多額の研究資金、および主要な業界プレーヤーの存在により、市場をリードしています。</w:t>
      </w:r>
    </w:p>
    <w:p w14:paraId="2158ABAB" w14:textId="77777777" w:rsidR="00A73DA1" w:rsidRPr="00A73DA1" w:rsidRDefault="00A73DA1" w:rsidP="00A73DA1">
      <w:pPr>
        <w:numPr>
          <w:ilvl w:val="0"/>
          <w:numId w:val="3"/>
        </w:numPr>
      </w:pPr>
      <w:r w:rsidRPr="00A73DA1">
        <w:rPr>
          <w:b/>
          <w:bCs/>
        </w:rPr>
        <w:t>アジア太平洋地域:</w:t>
      </w:r>
      <w:r w:rsidRPr="00A73DA1">
        <w:t xml:space="preserve"> バイオテクノロジー研究への投資の増加、医療施設の拡大、政府の支援的取り組みにより、急速な成長が見込まれています。</w:t>
      </w:r>
    </w:p>
    <w:p w14:paraId="0339AB04" w14:textId="77777777" w:rsidR="00A73DA1" w:rsidRPr="00A73DA1" w:rsidRDefault="00A73DA1" w:rsidP="00A73DA1">
      <w:pPr>
        <w:rPr>
          <w:b/>
          <w:bCs/>
        </w:rPr>
      </w:pPr>
      <w:r w:rsidRPr="00A73DA1">
        <w:rPr>
          <w:b/>
          <w:bCs/>
        </w:rPr>
        <w:t>ゲノム編集市場 最近の動向</w:t>
      </w:r>
    </w:p>
    <w:p w14:paraId="566271D9" w14:textId="77777777" w:rsidR="00A73DA1" w:rsidRPr="00A73DA1" w:rsidRDefault="00A73DA1" w:rsidP="00A73DA1">
      <w:pPr>
        <w:numPr>
          <w:ilvl w:val="0"/>
          <w:numId w:val="5"/>
        </w:numPr>
      </w:pPr>
      <w:r w:rsidRPr="00A73DA1">
        <w:t>2024年1月、ダナハー・コーポレーションはイノベーティブ・ゲノミクス・インスティテュート(IGI)と提携しました。</w:t>
      </w:r>
    </w:p>
    <w:p w14:paraId="19B670EC" w14:textId="77777777" w:rsidR="00A73DA1" w:rsidRPr="00A73DA1" w:rsidRDefault="00A73DA1" w:rsidP="00A73DA1">
      <w:pPr>
        <w:numPr>
          <w:ilvl w:val="0"/>
          <w:numId w:val="5"/>
        </w:numPr>
      </w:pPr>
      <w:r w:rsidRPr="00A73DA1">
        <w:t>2023年11月、Selectisはアストラゼネカと提携契約を締結し、がんおよび免疫学における先進的治療法の開発を加速します。</w:t>
      </w:r>
    </w:p>
    <w:p w14:paraId="1F04D188" w14:textId="057FD074" w:rsidR="00A73DA1" w:rsidRPr="00A73DA1" w:rsidRDefault="00A73DA1" w:rsidP="00A73DA1">
      <w:pPr>
        <w:numPr>
          <w:ilvl w:val="0"/>
          <w:numId w:val="5"/>
        </w:numPr>
      </w:pPr>
      <w:r w:rsidRPr="00A73DA1">
        <w:t>2023年7月、Sangamo TherapeuticsはChroma Medicineと提携し、Sangamoのジンクフィンガータンパク質(ZFP)を使用したエピジェネティックな医薬品を開発しました。</w:t>
      </w:r>
    </w:p>
    <w:p w14:paraId="75E82EA5" w14:textId="29AAF850" w:rsidR="00A73DA1" w:rsidRPr="00A73DA1" w:rsidRDefault="00A73DA1" w:rsidP="00A73DA1">
      <w:pPr>
        <w:rPr>
          <w:b/>
          <w:bCs/>
        </w:rPr>
      </w:pPr>
      <w:r w:rsidRPr="00A73DA1">
        <w:rPr>
          <w:b/>
          <w:bCs/>
        </w:rPr>
        <w:t>ゲノム編集市場のトッププレーヤー</w:t>
      </w:r>
    </w:p>
    <w:p w14:paraId="67525505" w14:textId="77777777" w:rsidR="00A73DA1" w:rsidRPr="00A73DA1" w:rsidRDefault="00A73DA1" w:rsidP="00A73DA1">
      <w:pPr>
        <w:pStyle w:val="ListParagraph"/>
        <w:numPr>
          <w:ilvl w:val="0"/>
          <w:numId w:val="4"/>
        </w:numPr>
      </w:pPr>
      <w:r w:rsidRPr="00A73DA1">
        <w:t>Merck KGaA (ドイツ)</w:t>
      </w:r>
    </w:p>
    <w:p w14:paraId="5C947C01" w14:textId="77777777" w:rsidR="00A73DA1" w:rsidRPr="00A73DA1" w:rsidRDefault="00A73DA1" w:rsidP="00A73DA1">
      <w:pPr>
        <w:pStyle w:val="ListParagraph"/>
        <w:numPr>
          <w:ilvl w:val="0"/>
          <w:numId w:val="4"/>
        </w:numPr>
      </w:pPr>
      <w:proofErr w:type="spellStart"/>
      <w:r w:rsidRPr="00A73DA1">
        <w:t>Cibus</w:t>
      </w:r>
      <w:proofErr w:type="spellEnd"/>
      <w:r w:rsidRPr="00A73DA1">
        <w:t xml:space="preserve"> Inc (</w:t>
      </w:r>
      <w:proofErr w:type="spellStart"/>
      <w:r w:rsidRPr="00A73DA1">
        <w:t>米国</w:t>
      </w:r>
      <w:proofErr w:type="spellEnd"/>
      <w:r w:rsidRPr="00A73DA1">
        <w:t xml:space="preserve">) </w:t>
      </w:r>
    </w:p>
    <w:p w14:paraId="47660E60" w14:textId="77777777" w:rsidR="00A73DA1" w:rsidRPr="00A73DA1" w:rsidRDefault="00A73DA1" w:rsidP="00A73DA1">
      <w:pPr>
        <w:pStyle w:val="ListParagraph"/>
        <w:numPr>
          <w:ilvl w:val="0"/>
          <w:numId w:val="4"/>
        </w:numPr>
      </w:pPr>
      <w:proofErr w:type="spellStart"/>
      <w:r w:rsidRPr="00A73DA1">
        <w:t>Recombinetics</w:t>
      </w:r>
      <w:proofErr w:type="spellEnd"/>
      <w:r w:rsidRPr="00A73DA1">
        <w:t>(</w:t>
      </w:r>
      <w:proofErr w:type="spellStart"/>
      <w:r w:rsidRPr="00A73DA1">
        <w:t>米国</w:t>
      </w:r>
      <w:proofErr w:type="spellEnd"/>
      <w:r w:rsidRPr="00A73DA1">
        <w:t xml:space="preserve">) </w:t>
      </w:r>
    </w:p>
    <w:p w14:paraId="314254D0" w14:textId="77777777" w:rsidR="00A73DA1" w:rsidRPr="00A73DA1" w:rsidRDefault="00A73DA1" w:rsidP="00A73DA1">
      <w:pPr>
        <w:pStyle w:val="ListParagraph"/>
        <w:numPr>
          <w:ilvl w:val="0"/>
          <w:numId w:val="4"/>
        </w:numPr>
      </w:pPr>
      <w:r w:rsidRPr="00A73DA1">
        <w:t xml:space="preserve">サンガモ・セラピューティクス(米国) </w:t>
      </w:r>
    </w:p>
    <w:p w14:paraId="58BC8488" w14:textId="77777777" w:rsidR="00A73DA1" w:rsidRPr="00A73DA1" w:rsidRDefault="00A73DA1" w:rsidP="00A73DA1">
      <w:pPr>
        <w:pStyle w:val="ListParagraph"/>
        <w:numPr>
          <w:ilvl w:val="0"/>
          <w:numId w:val="4"/>
        </w:numPr>
      </w:pPr>
      <w:r w:rsidRPr="00A73DA1">
        <w:t xml:space="preserve">エディタス医学(米国) </w:t>
      </w:r>
    </w:p>
    <w:p w14:paraId="53352E7F" w14:textId="77777777" w:rsidR="00A73DA1" w:rsidRPr="00A73DA1" w:rsidRDefault="00A73DA1" w:rsidP="00A73DA1">
      <w:pPr>
        <w:pStyle w:val="ListParagraph"/>
        <w:numPr>
          <w:ilvl w:val="0"/>
          <w:numId w:val="4"/>
        </w:numPr>
      </w:pPr>
      <w:r w:rsidRPr="00A73DA1">
        <w:t xml:space="preserve">プレシジョン・バイオサイエンス(米国) </w:t>
      </w:r>
    </w:p>
    <w:p w14:paraId="3A4596DA" w14:textId="77777777" w:rsidR="00A73DA1" w:rsidRPr="00A73DA1" w:rsidRDefault="00A73DA1" w:rsidP="00A73DA1">
      <w:pPr>
        <w:pStyle w:val="ListParagraph"/>
        <w:numPr>
          <w:ilvl w:val="0"/>
          <w:numId w:val="4"/>
        </w:numPr>
      </w:pPr>
      <w:r w:rsidRPr="00A73DA1">
        <w:t xml:space="preserve">CRISPR Therapeutics(スイス) </w:t>
      </w:r>
    </w:p>
    <w:p w14:paraId="1AB9056F" w14:textId="77777777" w:rsidR="00A73DA1" w:rsidRPr="00A73DA1" w:rsidRDefault="00A73DA1" w:rsidP="00A73DA1">
      <w:pPr>
        <w:pStyle w:val="ListParagraph"/>
        <w:numPr>
          <w:ilvl w:val="0"/>
          <w:numId w:val="4"/>
        </w:numPr>
      </w:pPr>
      <w:r w:rsidRPr="00A73DA1">
        <w:t xml:space="preserve">Intellia Therapeutics, Inc (米国) </w:t>
      </w:r>
    </w:p>
    <w:p w14:paraId="47123DCE" w14:textId="77777777" w:rsidR="00A73DA1" w:rsidRPr="00A73DA1" w:rsidRDefault="00A73DA1" w:rsidP="00A73DA1">
      <w:pPr>
        <w:pStyle w:val="ListParagraph"/>
        <w:numPr>
          <w:ilvl w:val="0"/>
          <w:numId w:val="4"/>
        </w:numPr>
      </w:pPr>
      <w:r w:rsidRPr="00A73DA1">
        <w:t xml:space="preserve">Caribou Biosciences, Inc.(米国) </w:t>
      </w:r>
    </w:p>
    <w:p w14:paraId="21D9D072" w14:textId="77777777" w:rsidR="00A73DA1" w:rsidRPr="00A73DA1" w:rsidRDefault="00A73DA1" w:rsidP="00A73DA1">
      <w:pPr>
        <w:pStyle w:val="ListParagraph"/>
        <w:numPr>
          <w:ilvl w:val="0"/>
          <w:numId w:val="4"/>
        </w:numPr>
      </w:pPr>
      <w:proofErr w:type="spellStart"/>
      <w:r w:rsidRPr="00A73DA1">
        <w:t>Cellectis</w:t>
      </w:r>
      <w:proofErr w:type="spellEnd"/>
      <w:r w:rsidRPr="00A73DA1">
        <w:t xml:space="preserve"> S.A(</w:t>
      </w:r>
      <w:proofErr w:type="spellStart"/>
      <w:r w:rsidRPr="00A73DA1">
        <w:t>フランス</w:t>
      </w:r>
      <w:proofErr w:type="spellEnd"/>
      <w:r w:rsidRPr="00A73DA1">
        <w:t xml:space="preserve">) </w:t>
      </w:r>
    </w:p>
    <w:p w14:paraId="3C1E5944" w14:textId="77777777" w:rsidR="00A73DA1" w:rsidRPr="00A73DA1" w:rsidRDefault="00A73DA1" w:rsidP="00A73DA1">
      <w:pPr>
        <w:pStyle w:val="ListParagraph"/>
        <w:numPr>
          <w:ilvl w:val="0"/>
          <w:numId w:val="4"/>
        </w:numPr>
      </w:pPr>
      <w:r w:rsidRPr="00A73DA1">
        <w:t xml:space="preserve">アストラゼネカ(英国) </w:t>
      </w:r>
    </w:p>
    <w:p w14:paraId="735353DA" w14:textId="77777777" w:rsidR="00A73DA1" w:rsidRPr="00A73DA1" w:rsidRDefault="00A73DA1" w:rsidP="00A73DA1">
      <w:pPr>
        <w:pStyle w:val="ListParagraph"/>
        <w:numPr>
          <w:ilvl w:val="0"/>
          <w:numId w:val="4"/>
        </w:numPr>
      </w:pPr>
      <w:r w:rsidRPr="00A73DA1">
        <w:t xml:space="preserve">タカラバイオ株式会社(日本) </w:t>
      </w:r>
    </w:p>
    <w:p w14:paraId="5EC4BD57" w14:textId="77777777" w:rsidR="00A73DA1" w:rsidRPr="00A73DA1" w:rsidRDefault="00A73DA1" w:rsidP="00A73DA1">
      <w:pPr>
        <w:pStyle w:val="ListParagraph"/>
        <w:numPr>
          <w:ilvl w:val="0"/>
          <w:numId w:val="4"/>
        </w:numPr>
      </w:pPr>
      <w:r w:rsidRPr="00A73DA1">
        <w:t xml:space="preserve">ダナハーコーポレーション(米国) </w:t>
      </w:r>
    </w:p>
    <w:p w14:paraId="3CA0A938" w14:textId="77777777" w:rsidR="00A73DA1" w:rsidRPr="00A73DA1" w:rsidRDefault="00A73DA1" w:rsidP="00A73DA1">
      <w:pPr>
        <w:pStyle w:val="ListParagraph"/>
        <w:numPr>
          <w:ilvl w:val="0"/>
          <w:numId w:val="4"/>
        </w:numPr>
      </w:pPr>
      <w:proofErr w:type="spellStart"/>
      <w:r w:rsidRPr="00A73DA1">
        <w:t>Transposagen</w:t>
      </w:r>
      <w:proofErr w:type="spellEnd"/>
      <w:r w:rsidRPr="00A73DA1">
        <w:t xml:space="preserve"> Biopharmaceuticals, Inc.(</w:t>
      </w:r>
      <w:proofErr w:type="spellStart"/>
      <w:r w:rsidRPr="00A73DA1">
        <w:t>米国</w:t>
      </w:r>
      <w:proofErr w:type="spellEnd"/>
      <w:r w:rsidRPr="00A73DA1">
        <w:t xml:space="preserve">) </w:t>
      </w:r>
    </w:p>
    <w:p w14:paraId="7A88916C" w14:textId="77777777" w:rsidR="00A73DA1" w:rsidRPr="00A73DA1" w:rsidRDefault="00A73DA1" w:rsidP="00A73DA1">
      <w:pPr>
        <w:pStyle w:val="ListParagraph"/>
        <w:numPr>
          <w:ilvl w:val="0"/>
          <w:numId w:val="4"/>
        </w:numPr>
      </w:pPr>
      <w:proofErr w:type="spellStart"/>
      <w:r w:rsidRPr="00A73DA1">
        <w:t>ジェンスクリプト・バイオテック・コーポレーション</w:t>
      </w:r>
      <w:proofErr w:type="spellEnd"/>
      <w:r w:rsidRPr="00A73DA1">
        <w:t>(</w:t>
      </w:r>
      <w:proofErr w:type="spellStart"/>
      <w:r w:rsidRPr="00A73DA1">
        <w:t>中国</w:t>
      </w:r>
      <w:proofErr w:type="spellEnd"/>
      <w:r w:rsidRPr="00A73DA1">
        <w:t xml:space="preserve">) </w:t>
      </w:r>
    </w:p>
    <w:p w14:paraId="643FD265" w14:textId="77777777" w:rsidR="00A73DA1" w:rsidRPr="00A73DA1" w:rsidRDefault="00A73DA1" w:rsidP="00A73DA1">
      <w:pPr>
        <w:pStyle w:val="ListParagraph"/>
        <w:numPr>
          <w:ilvl w:val="0"/>
          <w:numId w:val="4"/>
        </w:numPr>
      </w:pPr>
      <w:r w:rsidRPr="00A73DA1">
        <w:t xml:space="preserve">ニューイングランドバイオラボ(米国) </w:t>
      </w:r>
    </w:p>
    <w:p w14:paraId="7F7757C3" w14:textId="77777777" w:rsidR="00A73DA1" w:rsidRPr="00A73DA1" w:rsidRDefault="00A73DA1" w:rsidP="00A73DA1">
      <w:pPr>
        <w:pStyle w:val="ListParagraph"/>
        <w:numPr>
          <w:ilvl w:val="0"/>
          <w:numId w:val="4"/>
        </w:numPr>
      </w:pPr>
      <w:proofErr w:type="spellStart"/>
      <w:r w:rsidRPr="00A73DA1">
        <w:t>OriGene</w:t>
      </w:r>
      <w:proofErr w:type="spellEnd"/>
      <w:r w:rsidRPr="00A73DA1">
        <w:t xml:space="preserve"> Technologies, Inc.(</w:t>
      </w:r>
      <w:proofErr w:type="spellStart"/>
      <w:r w:rsidRPr="00A73DA1">
        <w:t>米国</w:t>
      </w:r>
      <w:proofErr w:type="spellEnd"/>
      <w:r w:rsidRPr="00A73DA1">
        <w:t xml:space="preserve">) </w:t>
      </w:r>
    </w:p>
    <w:p w14:paraId="206EC356" w14:textId="77777777" w:rsidR="00A73DA1" w:rsidRPr="00A73DA1" w:rsidRDefault="00A73DA1" w:rsidP="00A73DA1">
      <w:pPr>
        <w:pStyle w:val="ListParagraph"/>
        <w:numPr>
          <w:ilvl w:val="0"/>
          <w:numId w:val="4"/>
        </w:numPr>
      </w:pPr>
      <w:r w:rsidRPr="00A73DA1">
        <w:t xml:space="preserve">ロンザ(スイス) </w:t>
      </w:r>
    </w:p>
    <w:p w14:paraId="26E49BCA" w14:textId="54487882" w:rsidR="00A73DA1" w:rsidRPr="00A73DA1" w:rsidRDefault="00A73DA1" w:rsidP="00A73DA1">
      <w:pPr>
        <w:pStyle w:val="ListParagraph"/>
        <w:numPr>
          <w:ilvl w:val="0"/>
          <w:numId w:val="4"/>
        </w:numPr>
      </w:pPr>
      <w:proofErr w:type="spellStart"/>
      <w:r w:rsidRPr="00A73DA1">
        <w:t>サーモフィッシャーサイエンティフィック社</w:t>
      </w:r>
      <w:proofErr w:type="spellEnd"/>
      <w:r w:rsidRPr="00A73DA1">
        <w:t>(</w:t>
      </w:r>
      <w:proofErr w:type="spellStart"/>
      <w:r w:rsidRPr="00A73DA1">
        <w:t>米国</w:t>
      </w:r>
      <w:proofErr w:type="spellEnd"/>
      <w:r w:rsidRPr="00A73DA1">
        <w:t>)</w:t>
      </w:r>
    </w:p>
    <w:p w14:paraId="61BE8A92" w14:textId="6FB8FD91" w:rsidR="00A73DA1" w:rsidRPr="00A73DA1" w:rsidRDefault="00A73DA1" w:rsidP="00A73DA1">
      <w:r w:rsidRPr="00A73DA1">
        <w:rPr>
          <w:b/>
          <w:bCs/>
        </w:rPr>
        <w:lastRenderedPageBreak/>
        <w:t>今後の見通し:</w:t>
      </w:r>
    </w:p>
    <w:p w14:paraId="65D6FFDE" w14:textId="77777777" w:rsidR="00A73DA1" w:rsidRPr="00A73DA1" w:rsidRDefault="00A73DA1" w:rsidP="00A73DA1">
      <w:r w:rsidRPr="00A73DA1">
        <w:t>ゲノム編集市場は、技術の進歩、治療用途の拡大、個別化医療の受け入れの増加に支えられ、堅調な成長軌道を続けると予想されています。倫理的配慮と規制の枠組みは、ゲノム編集技術の将来の展望を形作る上で重要な役割を果たすでしょう。</w:t>
      </w:r>
    </w:p>
    <w:p w14:paraId="0422D905" w14:textId="14321F61" w:rsidR="00A73DA1" w:rsidRPr="00A73DA1" w:rsidRDefault="00A73DA1" w:rsidP="00A73DA1">
      <w:r w:rsidRPr="00A73DA1">
        <w:t xml:space="preserve">包括的な分析については、SkyQuest Technologyのレポート全文を参照してください </w:t>
      </w:r>
      <w:hyperlink r:id="rId6" w:history="1">
        <w:r w:rsidR="005B4C5A" w:rsidRPr="004A5D0C">
          <w:rPr>
            <w:rStyle w:val="Hyperlink"/>
          </w:rPr>
          <w:t>https://www.skyquestt.com/report/genome-editing-market</w:t>
        </w:r>
      </w:hyperlink>
      <w:r w:rsidR="005B4C5A">
        <w:t xml:space="preserve"> </w:t>
      </w:r>
      <w:r w:rsidRPr="00A73DA1">
        <w:t xml:space="preserve"> </w:t>
      </w:r>
      <w:hyperlink r:id="rId7" w:history="1"/>
      <w:r>
        <w:t xml:space="preserve"> </w:t>
      </w:r>
    </w:p>
    <w:p w14:paraId="4B6EFB03" w14:textId="3F69AC70" w:rsidR="004D40C5" w:rsidRDefault="004D40C5"/>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5732"/>
    <w:multiLevelType w:val="multilevel"/>
    <w:tmpl w:val="A3A43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477729"/>
    <w:multiLevelType w:val="hybridMultilevel"/>
    <w:tmpl w:val="78A2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44285C"/>
    <w:multiLevelType w:val="multilevel"/>
    <w:tmpl w:val="3072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2C3A67"/>
    <w:multiLevelType w:val="multilevel"/>
    <w:tmpl w:val="7812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654B8D"/>
    <w:multiLevelType w:val="multilevel"/>
    <w:tmpl w:val="313A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1200575">
    <w:abstractNumId w:val="4"/>
  </w:num>
  <w:num w:numId="2" w16cid:durableId="472799673">
    <w:abstractNumId w:val="0"/>
  </w:num>
  <w:num w:numId="3" w16cid:durableId="2037147343">
    <w:abstractNumId w:val="2"/>
  </w:num>
  <w:num w:numId="4" w16cid:durableId="583106486">
    <w:abstractNumId w:val="1"/>
  </w:num>
  <w:num w:numId="5" w16cid:durableId="17145730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DA1"/>
    <w:rsid w:val="001D01DB"/>
    <w:rsid w:val="00274CDA"/>
    <w:rsid w:val="004D40C5"/>
    <w:rsid w:val="005B4C5A"/>
    <w:rsid w:val="00632651"/>
    <w:rsid w:val="00A73DA1"/>
    <w:rsid w:val="00B354D8"/>
    <w:rsid w:val="00BB68BD"/>
    <w:rsid w:val="00C15B33"/>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942DD"/>
  <w15:chartTrackingRefBased/>
  <w15:docId w15:val="{5F1F19B8-537E-40CB-BBA6-8CEB66433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D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3D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3D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3D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3D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3D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D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D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D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D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3D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3D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3D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3D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3D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D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D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DA1"/>
    <w:rPr>
      <w:rFonts w:eastAsiaTheme="majorEastAsia" w:cstheme="majorBidi"/>
      <w:color w:val="272727" w:themeColor="text1" w:themeTint="D8"/>
    </w:rPr>
  </w:style>
  <w:style w:type="paragraph" w:styleId="Title">
    <w:name w:val="Title"/>
    <w:basedOn w:val="Normal"/>
    <w:next w:val="Normal"/>
    <w:link w:val="TitleChar"/>
    <w:uiPriority w:val="10"/>
    <w:qFormat/>
    <w:rsid w:val="00A73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D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D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D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DA1"/>
    <w:pPr>
      <w:spacing w:before="160"/>
      <w:jc w:val="center"/>
    </w:pPr>
    <w:rPr>
      <w:i/>
      <w:iCs/>
      <w:color w:val="404040" w:themeColor="text1" w:themeTint="BF"/>
    </w:rPr>
  </w:style>
  <w:style w:type="character" w:customStyle="1" w:styleId="QuoteChar">
    <w:name w:val="Quote Char"/>
    <w:basedOn w:val="DefaultParagraphFont"/>
    <w:link w:val="Quote"/>
    <w:uiPriority w:val="29"/>
    <w:rsid w:val="00A73DA1"/>
    <w:rPr>
      <w:i/>
      <w:iCs/>
      <w:color w:val="404040" w:themeColor="text1" w:themeTint="BF"/>
    </w:rPr>
  </w:style>
  <w:style w:type="paragraph" w:styleId="ListParagraph">
    <w:name w:val="List Paragraph"/>
    <w:basedOn w:val="Normal"/>
    <w:uiPriority w:val="34"/>
    <w:qFormat/>
    <w:rsid w:val="00A73DA1"/>
    <w:pPr>
      <w:ind w:left="720"/>
      <w:contextualSpacing/>
    </w:pPr>
  </w:style>
  <w:style w:type="character" w:styleId="IntenseEmphasis">
    <w:name w:val="Intense Emphasis"/>
    <w:basedOn w:val="DefaultParagraphFont"/>
    <w:uiPriority w:val="21"/>
    <w:qFormat/>
    <w:rsid w:val="00A73DA1"/>
    <w:rPr>
      <w:i/>
      <w:iCs/>
      <w:color w:val="2F5496" w:themeColor="accent1" w:themeShade="BF"/>
    </w:rPr>
  </w:style>
  <w:style w:type="paragraph" w:styleId="IntenseQuote">
    <w:name w:val="Intense Quote"/>
    <w:basedOn w:val="Normal"/>
    <w:next w:val="Normal"/>
    <w:link w:val="IntenseQuoteChar"/>
    <w:uiPriority w:val="30"/>
    <w:qFormat/>
    <w:rsid w:val="00A73D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3DA1"/>
    <w:rPr>
      <w:i/>
      <w:iCs/>
      <w:color w:val="2F5496" w:themeColor="accent1" w:themeShade="BF"/>
    </w:rPr>
  </w:style>
  <w:style w:type="character" w:styleId="IntenseReference">
    <w:name w:val="Intense Reference"/>
    <w:basedOn w:val="DefaultParagraphFont"/>
    <w:uiPriority w:val="32"/>
    <w:qFormat/>
    <w:rsid w:val="00A73DA1"/>
    <w:rPr>
      <w:b/>
      <w:bCs/>
      <w:smallCaps/>
      <w:color w:val="2F5496" w:themeColor="accent1" w:themeShade="BF"/>
      <w:spacing w:val="5"/>
    </w:rPr>
  </w:style>
  <w:style w:type="character" w:styleId="Hyperlink">
    <w:name w:val="Hyperlink"/>
    <w:basedOn w:val="DefaultParagraphFont"/>
    <w:uiPriority w:val="99"/>
    <w:unhideWhenUsed/>
    <w:rsid w:val="00A73DA1"/>
    <w:rPr>
      <w:color w:val="0563C1" w:themeColor="hyperlink"/>
      <w:u w:val="single"/>
    </w:rPr>
  </w:style>
  <w:style w:type="character" w:styleId="UnresolvedMention">
    <w:name w:val="Unresolved Mention"/>
    <w:basedOn w:val="DefaultParagraphFont"/>
    <w:uiPriority w:val="99"/>
    <w:semiHidden/>
    <w:unhideWhenUsed/>
    <w:rsid w:val="00A73DA1"/>
    <w:rPr>
      <w:color w:val="605E5C"/>
      <w:shd w:val="clear" w:color="auto" w:fill="E1DFDD"/>
    </w:rPr>
  </w:style>
  <w:style w:type="character" w:styleId="PlaceholderText">
    <w:name w:val="Placeholder Text"/>
    <w:basedOn w:val="DefaultParagraphFont"/>
    <w:uiPriority w:val="99"/>
    <w:semiHidden/>
    <w:rsid w:val="005B4C5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154581">
      <w:bodyDiv w:val="1"/>
      <w:marLeft w:val="0"/>
      <w:marRight w:val="0"/>
      <w:marTop w:val="0"/>
      <w:marBottom w:val="0"/>
      <w:divBdr>
        <w:top w:val="none" w:sz="0" w:space="0" w:color="auto"/>
        <w:left w:val="none" w:sz="0" w:space="0" w:color="auto"/>
        <w:bottom w:val="none" w:sz="0" w:space="0" w:color="auto"/>
        <w:right w:val="none" w:sz="0" w:space="0" w:color="auto"/>
      </w:divBdr>
    </w:div>
    <w:div w:id="1067413155">
      <w:bodyDiv w:val="1"/>
      <w:marLeft w:val="0"/>
      <w:marRight w:val="0"/>
      <w:marTop w:val="0"/>
      <w:marBottom w:val="0"/>
      <w:divBdr>
        <w:top w:val="none" w:sz="0" w:space="0" w:color="auto"/>
        <w:left w:val="none" w:sz="0" w:space="0" w:color="auto"/>
        <w:bottom w:val="none" w:sz="0" w:space="0" w:color="auto"/>
        <w:right w:val="none" w:sz="0" w:space="0" w:color="auto"/>
      </w:divBdr>
    </w:div>
    <w:div w:id="1157720649">
      <w:bodyDiv w:val="1"/>
      <w:marLeft w:val="0"/>
      <w:marRight w:val="0"/>
      <w:marTop w:val="0"/>
      <w:marBottom w:val="0"/>
      <w:divBdr>
        <w:top w:val="none" w:sz="0" w:space="0" w:color="auto"/>
        <w:left w:val="none" w:sz="0" w:space="0" w:color="auto"/>
        <w:bottom w:val="none" w:sz="0" w:space="0" w:color="auto"/>
        <w:right w:val="none" w:sz="0" w:space="0" w:color="auto"/>
      </w:divBdr>
    </w:div>
    <w:div w:id="1451124778">
      <w:bodyDiv w:val="1"/>
      <w:marLeft w:val="0"/>
      <w:marRight w:val="0"/>
      <w:marTop w:val="0"/>
      <w:marBottom w:val="0"/>
      <w:divBdr>
        <w:top w:val="none" w:sz="0" w:space="0" w:color="auto"/>
        <w:left w:val="none" w:sz="0" w:space="0" w:color="auto"/>
        <w:bottom w:val="none" w:sz="0" w:space="0" w:color="auto"/>
        <w:right w:val="none" w:sz="0" w:space="0" w:color="auto"/>
      </w:divBdr>
    </w:div>
    <w:div w:id="1730227197">
      <w:bodyDiv w:val="1"/>
      <w:marLeft w:val="0"/>
      <w:marRight w:val="0"/>
      <w:marTop w:val="0"/>
      <w:marBottom w:val="0"/>
      <w:divBdr>
        <w:top w:val="none" w:sz="0" w:space="0" w:color="auto"/>
        <w:left w:val="none" w:sz="0" w:space="0" w:color="auto"/>
        <w:bottom w:val="none" w:sz="0" w:space="0" w:color="auto"/>
        <w:right w:val="none" w:sz="0" w:space="0" w:color="auto"/>
      </w:divBdr>
    </w:div>
    <w:div w:id="183653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genome-editing-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genome-editing-market" TargetMode="External"/><Relationship Id="rId5" Type="http://schemas.openxmlformats.org/officeDocument/2006/relationships/hyperlink" Target="https://www.skyquestt.com/sample-request/genome-editing-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2025-04-30T19:16:00Z</dcterms:created>
  <dcterms:modified xsi:type="dcterms:W3CDTF">2025-04-30T19:19:00Z</dcterms:modified>
</cp:coreProperties>
</file>