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264B" w14:textId="6E0FD719" w:rsidR="00F30F9B" w:rsidRPr="00F30F9B" w:rsidRDefault="00F30F9B" w:rsidP="00F30F9B">
      <w:r w:rsidRPr="00F30F9B">
        <w:rPr>
          <w:b/>
          <w:bCs/>
        </w:rPr>
        <w:t>養殖市場は、シーフード需要の増加と持続可能な養殖の革新に牽引されて、2032年までに4,648億6,000万米ドルに達すると予測されています</w:t>
      </w:r>
    </w:p>
    <w:p w14:paraId="1032192F" w14:textId="3C1397B5" w:rsidR="00F30F9B" w:rsidRDefault="00F30F9B" w:rsidP="00F30F9B">
      <w:pPr>
        <w:rPr>
          <w:iCs/>
        </w:rPr>
      </w:pPr>
      <w:r w:rsidRPr="00F30F9B">
        <w:rPr>
          <w:iCs/>
        </w:rPr>
        <w:t xml:space="preserve">ナガスクジラ、コイ、軟体動物、カニ、水生植物などの水生動物の生産は、水産養殖として知られており、水産養殖とも呼ばれます。この農業技術は、定期的な飼育、給餌、捕食者の保護など、生産性を高めるための介入を使用します。世界中で栽培されている580の養殖種の間、およびその間には多くの遺伝的多様性があります。水産養殖は、養殖動物の所有権を主張できる発展途上国の特定の農家や多国籍企業によって実践されています。 </w:t>
      </w:r>
    </w:p>
    <w:p w14:paraId="009E9750" w14:textId="77777777" w:rsidR="00F30F9B" w:rsidRPr="00F30F9B" w:rsidRDefault="00F30F9B" w:rsidP="00F30F9B">
      <w:pPr>
        <w:rPr>
          <w:b/>
          <w:bCs/>
          <w:iCs/>
        </w:rPr>
      </w:pPr>
      <w:r w:rsidRPr="00F30F9B">
        <w:rPr>
          <w:b/>
          <w:bCs/>
          <w:iCs/>
        </w:rPr>
        <w:t>水産養殖の市場規模は2023年に2,945億6,000万米ドルと評価され、2024年の3,098億8,000万米ドルから2032年までに4,648億6,000万米ドルに成長し、予測期間(2025-2032)の間に5.20%のCAGRで成長する態勢を整えています。</w:t>
      </w:r>
    </w:p>
    <w:p w14:paraId="31A9C655" w14:textId="34DA662B" w:rsidR="00F30F9B" w:rsidRPr="00F30F9B" w:rsidRDefault="00F30F9B" w:rsidP="00F30F9B">
      <w:pPr>
        <w:rPr>
          <w:iCs/>
        </w:rPr>
      </w:pPr>
      <w:r w:rsidRPr="00F30F9B">
        <w:rPr>
          <w:iCs/>
        </w:rPr>
        <w:t xml:space="preserve">今すぐ無料サンプルレポートを入手: </w:t>
      </w:r>
      <w:hyperlink r:id="rId5" w:history="1">
        <w:r w:rsidRPr="0020471F">
          <w:rPr>
            <w:rStyle w:val="Hyperlink"/>
            <w:iCs/>
          </w:rPr>
          <w:t>https://www.skyquestt.com/sample-request/aquaculture-market</w:t>
        </w:r>
      </w:hyperlink>
      <w:r>
        <w:rPr>
          <w:iCs/>
        </w:rPr>
        <w:t xml:space="preserve"> </w:t>
      </w:r>
    </w:p>
    <w:p w14:paraId="4FC51BDB" w14:textId="77777777" w:rsidR="00F30F9B" w:rsidRPr="00F30F9B" w:rsidRDefault="00F30F9B" w:rsidP="00F30F9B">
      <w:r w:rsidRPr="00F30F9B">
        <w:rPr>
          <w:b/>
          <w:bCs/>
        </w:rPr>
        <w:t>主な市場ドライバー:</w:t>
      </w:r>
    </w:p>
    <w:p w14:paraId="57CA784C" w14:textId="77777777" w:rsidR="00F30F9B" w:rsidRPr="00F30F9B" w:rsidRDefault="00F30F9B" w:rsidP="00F30F9B">
      <w:pPr>
        <w:numPr>
          <w:ilvl w:val="0"/>
          <w:numId w:val="1"/>
        </w:numPr>
      </w:pPr>
      <w:r w:rsidRPr="00F30F9B">
        <w:rPr>
          <w:b/>
          <w:bCs/>
        </w:rPr>
        <w:t>世界的な水産物消費量の増加:</w:t>
      </w:r>
      <w:r w:rsidRPr="00F30F9B">
        <w:t xml:space="preserve"> 人口増加と健康志向に牽引された水産物の需要の高まりにより、水産養殖業界は持続可能な供給ニーズを満たすように推進されています。</w:t>
      </w:r>
    </w:p>
    <w:p w14:paraId="0D75F05A" w14:textId="4EAA0004" w:rsidR="00F30F9B" w:rsidRPr="00F30F9B" w:rsidRDefault="00F30F9B" w:rsidP="00F30F9B">
      <w:pPr>
        <w:numPr>
          <w:ilvl w:val="0"/>
          <w:numId w:val="1"/>
        </w:numPr>
      </w:pPr>
      <w:r w:rsidRPr="00F30F9B">
        <w:rPr>
          <w:b/>
          <w:bCs/>
        </w:rPr>
        <w:t>技術の進歩:</w:t>
      </w:r>
      <w:r w:rsidRPr="00F30F9B">
        <w:t xml:space="preserve"> 再循環養殖システム(RAS)、自動給餌、水質モニタリングなどのイノベーションにより、生産効率と環境の持続可能性が向上しています。 </w:t>
      </w:r>
    </w:p>
    <w:p w14:paraId="00926007" w14:textId="77777777" w:rsidR="00F30F9B" w:rsidRPr="00F30F9B" w:rsidRDefault="00F30F9B" w:rsidP="00F30F9B">
      <w:pPr>
        <w:numPr>
          <w:ilvl w:val="0"/>
          <w:numId w:val="1"/>
        </w:numPr>
      </w:pPr>
      <w:r w:rsidRPr="00F30F9B">
        <w:rPr>
          <w:b/>
          <w:bCs/>
        </w:rPr>
        <w:t>環境問題:</w:t>
      </w:r>
      <w:r w:rsidRPr="00F30F9B">
        <w:t xml:space="preserve"> 天然魚資源の減少と乱獲により、従来の漁業慣行に代わる持続可能な方法として、水産養殖に焦点が移っています。</w:t>
      </w:r>
    </w:p>
    <w:p w14:paraId="0A7A89EB" w14:textId="77777777" w:rsidR="00F30F9B" w:rsidRPr="00F30F9B" w:rsidRDefault="00F30F9B" w:rsidP="00F30F9B">
      <w:r w:rsidRPr="00F30F9B">
        <w:rPr>
          <w:b/>
          <w:bCs/>
        </w:rPr>
        <w:t>市場セグメンテーション:</w:t>
      </w:r>
    </w:p>
    <w:p w14:paraId="1A09B7A5" w14:textId="6ACF83B3" w:rsidR="00F30F9B" w:rsidRPr="00F30F9B" w:rsidRDefault="00F30F9B" w:rsidP="00F30F9B">
      <w:pPr>
        <w:numPr>
          <w:ilvl w:val="0"/>
          <w:numId w:val="2"/>
        </w:numPr>
      </w:pPr>
      <w:r w:rsidRPr="00F30F9B">
        <w:rPr>
          <w:b/>
          <w:bCs/>
        </w:rPr>
        <w:t>環境別:</w:t>
      </w:r>
      <w:r w:rsidRPr="00F30F9B">
        <w:t xml:space="preserve"> 淡水、海水、汽水 </w:t>
      </w:r>
    </w:p>
    <w:p w14:paraId="01D6E78F" w14:textId="77777777" w:rsidR="00F30F9B" w:rsidRPr="00F30F9B" w:rsidRDefault="00F30F9B" w:rsidP="00F30F9B">
      <w:pPr>
        <w:numPr>
          <w:ilvl w:val="0"/>
          <w:numId w:val="2"/>
        </w:numPr>
      </w:pPr>
      <w:r w:rsidRPr="00F30F9B">
        <w:rPr>
          <w:b/>
          <w:bCs/>
        </w:rPr>
        <w:t>種別:</w:t>
      </w:r>
      <w:r w:rsidRPr="00F30F9B">
        <w:t xml:space="preserve"> 魚類(サケ、ティラピア、コイなど)、甲殻類(エビ、エビなど)、軟体動物(カキ、アサリなど)、その他</w:t>
      </w:r>
    </w:p>
    <w:p w14:paraId="2C7E1408" w14:textId="77777777" w:rsidR="00F30F9B" w:rsidRPr="00F30F9B" w:rsidRDefault="00F30F9B" w:rsidP="00F30F9B">
      <w:pPr>
        <w:numPr>
          <w:ilvl w:val="0"/>
          <w:numId w:val="2"/>
        </w:numPr>
      </w:pPr>
      <w:r w:rsidRPr="00F30F9B">
        <w:rPr>
          <w:b/>
          <w:bCs/>
        </w:rPr>
        <w:t>地域別:</w:t>
      </w:r>
      <w:r w:rsidRPr="00F30F9B">
        <w:t xml:space="preserve"> 北米、ヨーロッパ、アジア太平洋、ラテンアメリカ、中東、アフリカ</w:t>
      </w:r>
    </w:p>
    <w:p w14:paraId="7BD34624" w14:textId="77777777" w:rsidR="00F30F9B" w:rsidRPr="00F30F9B" w:rsidRDefault="00F30F9B" w:rsidP="00F30F9B">
      <w:r w:rsidRPr="00F30F9B">
        <w:rPr>
          <w:b/>
          <w:bCs/>
        </w:rPr>
        <w:t>地域別インサイト:</w:t>
      </w:r>
    </w:p>
    <w:p w14:paraId="7336DA5C" w14:textId="5989CEC1" w:rsidR="00F30F9B" w:rsidRPr="00F30F9B" w:rsidRDefault="00F30F9B" w:rsidP="00F30F9B">
      <w:pPr>
        <w:numPr>
          <w:ilvl w:val="0"/>
          <w:numId w:val="3"/>
        </w:numPr>
      </w:pPr>
      <w:r w:rsidRPr="00F30F9B">
        <w:rPr>
          <w:b/>
          <w:bCs/>
        </w:rPr>
        <w:t>アジア太平洋地域:</w:t>
      </w:r>
      <w:r w:rsidRPr="00F30F9B">
        <w:t xml:space="preserve"> 中国、インド、ベトナムなどの国々で良好な気候条件、広大な海岸線、確立された水産養殖慣行により、市場を支配しています。 </w:t>
      </w:r>
    </w:p>
    <w:p w14:paraId="1A63E6A6" w14:textId="77777777" w:rsidR="00F30F9B" w:rsidRPr="00F30F9B" w:rsidRDefault="00F30F9B" w:rsidP="00F30F9B">
      <w:pPr>
        <w:numPr>
          <w:ilvl w:val="0"/>
          <w:numId w:val="3"/>
        </w:numPr>
      </w:pPr>
      <w:r w:rsidRPr="00F30F9B">
        <w:rPr>
          <w:b/>
          <w:bCs/>
        </w:rPr>
        <w:lastRenderedPageBreak/>
        <w:t>北米とヨーロッパ:</w:t>
      </w:r>
      <w:r w:rsidRPr="00F30F9B">
        <w:t xml:space="preserve"> これらの地域では、技術の採用と持続可能なシーフードオプションの需要の高まりに牽引されて、水産養殖の成長が見られます。</w:t>
      </w:r>
    </w:p>
    <w:p w14:paraId="65A5E4B7" w14:textId="77777777" w:rsidR="00F30F9B" w:rsidRPr="00F30F9B" w:rsidRDefault="00F30F9B" w:rsidP="00F30F9B">
      <w:pPr>
        <w:rPr>
          <w:b/>
          <w:bCs/>
        </w:rPr>
      </w:pPr>
      <w:r w:rsidRPr="00F30F9B">
        <w:rPr>
          <w:b/>
          <w:bCs/>
        </w:rPr>
        <w:t>水産養殖市場のトッププレーヤー</w:t>
      </w:r>
    </w:p>
    <w:p w14:paraId="28442530" w14:textId="77777777" w:rsidR="00F30F9B" w:rsidRPr="00F30F9B" w:rsidRDefault="00F30F9B" w:rsidP="00F30F9B">
      <w:pPr>
        <w:pStyle w:val="ListParagraph"/>
        <w:numPr>
          <w:ilvl w:val="0"/>
          <w:numId w:val="4"/>
        </w:numPr>
      </w:pPr>
      <w:r w:rsidRPr="00F30F9B">
        <w:t>アルファグループ株式会社</w:t>
      </w:r>
    </w:p>
    <w:p w14:paraId="59535AB5" w14:textId="77777777" w:rsidR="00F30F9B" w:rsidRPr="00F30F9B" w:rsidRDefault="00F30F9B" w:rsidP="00F30F9B">
      <w:pPr>
        <w:pStyle w:val="ListParagraph"/>
        <w:numPr>
          <w:ilvl w:val="0"/>
          <w:numId w:val="4"/>
        </w:numPr>
      </w:pPr>
      <w:proofErr w:type="spellStart"/>
      <w:r w:rsidRPr="00F30F9B">
        <w:t>タッサル・グループ・リミテッド</w:t>
      </w:r>
      <w:proofErr w:type="spellEnd"/>
    </w:p>
    <w:p w14:paraId="6DCBBB66" w14:textId="77777777" w:rsidR="00F30F9B" w:rsidRPr="00F30F9B" w:rsidRDefault="00F30F9B" w:rsidP="00F30F9B">
      <w:pPr>
        <w:pStyle w:val="ListParagraph"/>
        <w:numPr>
          <w:ilvl w:val="0"/>
          <w:numId w:val="4"/>
        </w:numPr>
      </w:pPr>
      <w:proofErr w:type="spellStart"/>
      <w:r w:rsidRPr="00F30F9B">
        <w:t>Nireus</w:t>
      </w:r>
      <w:proofErr w:type="spellEnd"/>
      <w:r w:rsidRPr="00F30F9B">
        <w:t xml:space="preserve"> S.A. Ltd.</w:t>
      </w:r>
    </w:p>
    <w:p w14:paraId="3BE13C9A" w14:textId="77777777" w:rsidR="00F30F9B" w:rsidRPr="00F30F9B" w:rsidRDefault="00F30F9B" w:rsidP="00F30F9B">
      <w:pPr>
        <w:pStyle w:val="ListParagraph"/>
        <w:numPr>
          <w:ilvl w:val="0"/>
          <w:numId w:val="4"/>
        </w:numPr>
      </w:pPr>
      <w:r w:rsidRPr="00F30F9B">
        <w:t>クック水産養殖</w:t>
      </w:r>
    </w:p>
    <w:p w14:paraId="4ADEC639" w14:textId="77777777" w:rsidR="00F30F9B" w:rsidRPr="00F30F9B" w:rsidRDefault="00F30F9B" w:rsidP="00F30F9B">
      <w:pPr>
        <w:pStyle w:val="ListParagraph"/>
        <w:numPr>
          <w:ilvl w:val="0"/>
          <w:numId w:val="4"/>
        </w:numPr>
      </w:pPr>
      <w:r w:rsidRPr="00F30F9B">
        <w:t>アクアカルチャー・テクノロジーズ・アジア・リミテッド</w:t>
      </w:r>
    </w:p>
    <w:p w14:paraId="5F675039" w14:textId="77777777" w:rsidR="00F30F9B" w:rsidRPr="00F30F9B" w:rsidRDefault="00F30F9B" w:rsidP="00F30F9B">
      <w:pPr>
        <w:pStyle w:val="ListParagraph"/>
        <w:numPr>
          <w:ilvl w:val="0"/>
          <w:numId w:val="4"/>
        </w:numPr>
      </w:pPr>
      <w:r w:rsidRPr="00F30F9B">
        <w:t>サルマー ASA</w:t>
      </w:r>
    </w:p>
    <w:p w14:paraId="197D7A8B" w14:textId="77777777" w:rsidR="00F30F9B" w:rsidRPr="00F30F9B" w:rsidRDefault="00F30F9B" w:rsidP="00F30F9B">
      <w:pPr>
        <w:pStyle w:val="ListParagraph"/>
        <w:numPr>
          <w:ilvl w:val="0"/>
          <w:numId w:val="4"/>
        </w:numPr>
      </w:pPr>
      <w:r w:rsidRPr="00F30F9B">
        <w:t>リロイ・シーフード・グループ・アサ</w:t>
      </w:r>
    </w:p>
    <w:p w14:paraId="7DD2E62F" w14:textId="77777777" w:rsidR="00F30F9B" w:rsidRPr="00F30F9B" w:rsidRDefault="00F30F9B" w:rsidP="00F30F9B">
      <w:pPr>
        <w:pStyle w:val="ListParagraph"/>
        <w:numPr>
          <w:ilvl w:val="0"/>
          <w:numId w:val="4"/>
        </w:numPr>
      </w:pPr>
      <w:r w:rsidRPr="00F30F9B">
        <w:t>ノルウェーロイヤルサムソンASA</w:t>
      </w:r>
    </w:p>
    <w:p w14:paraId="1ED5820D" w14:textId="77777777" w:rsidR="00F30F9B" w:rsidRPr="00F30F9B" w:rsidRDefault="00F30F9B" w:rsidP="00F30F9B">
      <w:pPr>
        <w:pStyle w:val="ListParagraph"/>
        <w:numPr>
          <w:ilvl w:val="0"/>
          <w:numId w:val="4"/>
        </w:numPr>
      </w:pPr>
      <w:r w:rsidRPr="00F30F9B">
        <w:t xml:space="preserve">P/F </w:t>
      </w:r>
      <w:proofErr w:type="spellStart"/>
      <w:r w:rsidRPr="00F30F9B">
        <w:t>バッカフロスト</w:t>
      </w:r>
      <w:proofErr w:type="spellEnd"/>
    </w:p>
    <w:p w14:paraId="7FEAF2A1" w14:textId="77777777" w:rsidR="00F30F9B" w:rsidRPr="00F30F9B" w:rsidRDefault="00F30F9B" w:rsidP="00F30F9B">
      <w:pPr>
        <w:pStyle w:val="ListParagraph"/>
        <w:numPr>
          <w:ilvl w:val="0"/>
          <w:numId w:val="4"/>
        </w:numPr>
      </w:pPr>
      <w:r w:rsidRPr="00F30F9B">
        <w:t>CermaqグループAS</w:t>
      </w:r>
    </w:p>
    <w:p w14:paraId="736AF662" w14:textId="77777777" w:rsidR="00F30F9B" w:rsidRPr="00F30F9B" w:rsidRDefault="00F30F9B" w:rsidP="00F30F9B">
      <w:pPr>
        <w:pStyle w:val="ListParagraph"/>
        <w:numPr>
          <w:ilvl w:val="0"/>
          <w:numId w:val="4"/>
        </w:numPr>
      </w:pPr>
      <w:r w:rsidRPr="00F30F9B">
        <w:t>日本水産株式会社</w:t>
      </w:r>
    </w:p>
    <w:p w14:paraId="697AFD05" w14:textId="77777777" w:rsidR="00F30F9B" w:rsidRPr="00F30F9B" w:rsidRDefault="00F30F9B" w:rsidP="00F30F9B">
      <w:pPr>
        <w:pStyle w:val="ListParagraph"/>
        <w:numPr>
          <w:ilvl w:val="0"/>
          <w:numId w:val="4"/>
        </w:numPr>
      </w:pPr>
      <w:r w:rsidRPr="00F30F9B">
        <w:t>チャルーンポクファンドフーズ</w:t>
      </w:r>
    </w:p>
    <w:p w14:paraId="2E49868E" w14:textId="77777777" w:rsidR="00F30F9B" w:rsidRPr="00F30F9B" w:rsidRDefault="00F30F9B" w:rsidP="00F30F9B">
      <w:pPr>
        <w:pStyle w:val="ListParagraph"/>
        <w:numPr>
          <w:ilvl w:val="0"/>
          <w:numId w:val="4"/>
        </w:numPr>
      </w:pPr>
      <w:proofErr w:type="spellStart"/>
      <w:r w:rsidRPr="00F30F9B">
        <w:t>モウィASA</w:t>
      </w:r>
      <w:proofErr w:type="spellEnd"/>
    </w:p>
    <w:p w14:paraId="55BBB1FA" w14:textId="77777777" w:rsidR="00F30F9B" w:rsidRPr="00F30F9B" w:rsidRDefault="00F30F9B" w:rsidP="00F30F9B">
      <w:pPr>
        <w:pStyle w:val="ListParagraph"/>
        <w:numPr>
          <w:ilvl w:val="0"/>
          <w:numId w:val="4"/>
        </w:numPr>
      </w:pPr>
      <w:r w:rsidRPr="00F30F9B">
        <w:t>グリーグシーフードASA</w:t>
      </w:r>
    </w:p>
    <w:p w14:paraId="1CA7AD19" w14:textId="77777777" w:rsidR="00F30F9B" w:rsidRPr="00F30F9B" w:rsidRDefault="00F30F9B" w:rsidP="00F30F9B">
      <w:pPr>
        <w:pStyle w:val="ListParagraph"/>
        <w:numPr>
          <w:ilvl w:val="0"/>
          <w:numId w:val="4"/>
        </w:numPr>
      </w:pPr>
      <w:r w:rsidRPr="00F30F9B">
        <w:t>リロイ・シーフード・グループ</w:t>
      </w:r>
    </w:p>
    <w:p w14:paraId="67A8536C" w14:textId="77777777" w:rsidR="00F30F9B" w:rsidRPr="00F30F9B" w:rsidRDefault="00F30F9B" w:rsidP="00F30F9B">
      <w:pPr>
        <w:pStyle w:val="ListParagraph"/>
        <w:numPr>
          <w:ilvl w:val="0"/>
          <w:numId w:val="4"/>
        </w:numPr>
      </w:pPr>
      <w:proofErr w:type="spellStart"/>
      <w:r w:rsidRPr="00F30F9B">
        <w:t>バッカフロスト</w:t>
      </w:r>
      <w:proofErr w:type="spellEnd"/>
    </w:p>
    <w:p w14:paraId="3F95510B" w14:textId="77777777" w:rsidR="00F30F9B" w:rsidRPr="00F30F9B" w:rsidRDefault="00F30F9B" w:rsidP="00F30F9B">
      <w:pPr>
        <w:pStyle w:val="ListParagraph"/>
        <w:numPr>
          <w:ilvl w:val="0"/>
          <w:numId w:val="4"/>
        </w:numPr>
      </w:pPr>
      <w:r w:rsidRPr="00F30F9B">
        <w:t>アクアバウンティテクノロジーズ</w:t>
      </w:r>
    </w:p>
    <w:p w14:paraId="5E52E1AB" w14:textId="77777777" w:rsidR="00F30F9B" w:rsidRPr="00F30F9B" w:rsidRDefault="00F30F9B" w:rsidP="00F30F9B">
      <w:pPr>
        <w:pStyle w:val="ListParagraph"/>
        <w:numPr>
          <w:ilvl w:val="0"/>
          <w:numId w:val="4"/>
        </w:numPr>
      </w:pPr>
      <w:r w:rsidRPr="00F30F9B">
        <w:t>ベンチマークホールディングス</w:t>
      </w:r>
    </w:p>
    <w:p w14:paraId="54545B89" w14:textId="2CA852AF" w:rsidR="00F30F9B" w:rsidRPr="00F30F9B" w:rsidRDefault="00F30F9B" w:rsidP="00F30F9B">
      <w:pPr>
        <w:pStyle w:val="ListParagraph"/>
        <w:numPr>
          <w:ilvl w:val="0"/>
          <w:numId w:val="4"/>
        </w:numPr>
      </w:pPr>
      <w:r w:rsidRPr="00F30F9B">
        <w:t>ヘンドリックス・ジェネティクス</w:t>
      </w:r>
    </w:p>
    <w:p w14:paraId="14D42E08" w14:textId="77777777" w:rsidR="00F30F9B" w:rsidRPr="00F30F9B" w:rsidRDefault="00F30F9B" w:rsidP="00F30F9B">
      <w:pPr>
        <w:rPr>
          <w:b/>
          <w:bCs/>
        </w:rPr>
      </w:pPr>
      <w:r w:rsidRPr="00F30F9B">
        <w:rPr>
          <w:b/>
          <w:bCs/>
        </w:rPr>
        <w:t>養殖市場 最近の動向</w:t>
      </w:r>
    </w:p>
    <w:p w14:paraId="2AF6A740" w14:textId="77777777" w:rsidR="00F30F9B" w:rsidRPr="00F30F9B" w:rsidRDefault="00F30F9B" w:rsidP="00F30F9B">
      <w:pPr>
        <w:numPr>
          <w:ilvl w:val="0"/>
          <w:numId w:val="5"/>
        </w:numPr>
        <w:rPr>
          <w:b/>
          <w:bCs/>
        </w:rPr>
      </w:pPr>
      <w:r w:rsidRPr="00F30F9B">
        <w:rPr>
          <w:b/>
          <w:bCs/>
        </w:rPr>
        <w:t>2019年11月、Van Cleve Seafood Co.は、従来のシーフードだけでなく、おいしい植物ベースのアイテムを米国の顧客に提供するために、新しい植物ベースのシーフードカテゴリーを立ち上げました。</w:t>
      </w:r>
    </w:p>
    <w:p w14:paraId="537AFA85" w14:textId="77777777" w:rsidR="00F30F9B" w:rsidRPr="00F30F9B" w:rsidRDefault="00F30F9B" w:rsidP="00F30F9B">
      <w:pPr>
        <w:numPr>
          <w:ilvl w:val="0"/>
          <w:numId w:val="6"/>
        </w:numPr>
        <w:rPr>
          <w:b/>
          <w:bCs/>
        </w:rPr>
      </w:pPr>
      <w:r w:rsidRPr="00F30F9B">
        <w:rPr>
          <w:b/>
          <w:bCs/>
        </w:rPr>
        <w:t>2019年4月、Atlantic Sea Farmsは、水産物に対する国の欲求を満たすために、Sea-chi、海藻キムチ、発酵海藻サラダ、ビートクラウトなどの新製品を米国で発売すると発表しました。</w:t>
      </w:r>
    </w:p>
    <w:p w14:paraId="2FE9A9F7" w14:textId="77777777" w:rsidR="00F30F9B" w:rsidRPr="00F30F9B" w:rsidRDefault="00F30F9B" w:rsidP="00F30F9B">
      <w:pPr>
        <w:numPr>
          <w:ilvl w:val="0"/>
          <w:numId w:val="7"/>
        </w:numPr>
        <w:rPr>
          <w:b/>
          <w:bCs/>
        </w:rPr>
      </w:pPr>
      <w:r w:rsidRPr="00F30F9B">
        <w:rPr>
          <w:b/>
          <w:bCs/>
        </w:rPr>
        <w:t>2018年8月、AKVAグループは、農家がサイロを任意のケージに輸送して供給できるように、柔軟な供給供給コンベヤー設計を確立しました。これにより、さまざまな飼料タイプとサイズの飼料を簡単に使用できるようになりました。</w:t>
      </w:r>
    </w:p>
    <w:p w14:paraId="2261FF4C" w14:textId="570043BD" w:rsidR="00F30F9B" w:rsidRPr="00F30F9B" w:rsidRDefault="00F30F9B" w:rsidP="00F30F9B">
      <w:pPr>
        <w:numPr>
          <w:ilvl w:val="0"/>
          <w:numId w:val="8"/>
        </w:numPr>
        <w:rPr>
          <w:b/>
          <w:bCs/>
        </w:rPr>
      </w:pPr>
      <w:r w:rsidRPr="00F30F9B">
        <w:rPr>
          <w:b/>
          <w:bCs/>
        </w:rPr>
        <w:lastRenderedPageBreak/>
        <w:t>2018年6月、AKVAグループは、製品提供を拡大するために、Egersund Net AS(</w:t>
      </w:r>
      <w:proofErr w:type="spellStart"/>
      <w:r w:rsidRPr="00F30F9B">
        <w:rPr>
          <w:b/>
          <w:bCs/>
        </w:rPr>
        <w:t>ノルウェ</w:t>
      </w:r>
      <w:proofErr w:type="spellEnd"/>
      <w:r w:rsidRPr="00F30F9B">
        <w:rPr>
          <w:b/>
          <w:bCs/>
        </w:rPr>
        <w:t>ー)</w:t>
      </w:r>
      <w:proofErr w:type="spellStart"/>
      <w:r w:rsidRPr="00F30F9B">
        <w:rPr>
          <w:b/>
          <w:bCs/>
        </w:rPr>
        <w:t>を買収することに合意しました</w:t>
      </w:r>
      <w:proofErr w:type="spellEnd"/>
      <w:r w:rsidRPr="00F30F9B">
        <w:rPr>
          <w:b/>
          <w:bCs/>
        </w:rPr>
        <w:t>。</w:t>
      </w:r>
    </w:p>
    <w:p w14:paraId="05941F16" w14:textId="476FAD8E" w:rsidR="00F30F9B" w:rsidRPr="00F30F9B" w:rsidRDefault="00F30F9B" w:rsidP="00F30F9B">
      <w:r w:rsidRPr="00F30F9B">
        <w:rPr>
          <w:b/>
          <w:bCs/>
        </w:rPr>
        <w:t>今後の見通し:</w:t>
      </w:r>
    </w:p>
    <w:p w14:paraId="1E794BFC" w14:textId="77777777" w:rsidR="00F30F9B" w:rsidRPr="00F30F9B" w:rsidRDefault="00F30F9B" w:rsidP="00F30F9B">
      <w:r w:rsidRPr="00F30F9B">
        <w:t>水産養殖市場は、技術革新、持続可能な慣行、世界的な水産物需要の増加に支えられ、力強い成長を遂げる準備ができています。継続的な投資と規制当局の支援により、業界の拡大がさらに促進されることが期待されます。</w:t>
      </w:r>
    </w:p>
    <w:p w14:paraId="2E64D6D8" w14:textId="0A45B912" w:rsidR="00F30F9B" w:rsidRPr="00F30F9B" w:rsidRDefault="00F30F9B" w:rsidP="00F30F9B">
      <w:r w:rsidRPr="00F30F9B">
        <w:t>包括的な分析については、SkyQuest Technologyのレポート全文(</w:t>
      </w:r>
      <w:hyperlink r:id="rId6" w:history="1">
        <w:r w:rsidRPr="0020471F">
          <w:rPr>
            <w:rStyle w:val="Hyperlink"/>
          </w:rPr>
          <w:t>https://www.skyquestt.com/report/aquaculture-market)をご覧ください。</w:t>
        </w:r>
      </w:hyperlink>
      <w:r>
        <w:t xml:space="preserve"> </w:t>
      </w:r>
    </w:p>
    <w:p w14:paraId="482E0D77" w14:textId="2BA18248"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E12"/>
    <w:multiLevelType w:val="hybridMultilevel"/>
    <w:tmpl w:val="BF6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673F3"/>
    <w:multiLevelType w:val="multilevel"/>
    <w:tmpl w:val="181E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76758"/>
    <w:multiLevelType w:val="multilevel"/>
    <w:tmpl w:val="E12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B54BC"/>
    <w:multiLevelType w:val="multilevel"/>
    <w:tmpl w:val="F8A2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71852"/>
    <w:multiLevelType w:val="multilevel"/>
    <w:tmpl w:val="8D6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D614F"/>
    <w:multiLevelType w:val="multilevel"/>
    <w:tmpl w:val="AB7C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C425B"/>
    <w:multiLevelType w:val="multilevel"/>
    <w:tmpl w:val="C608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63325"/>
    <w:multiLevelType w:val="multilevel"/>
    <w:tmpl w:val="8080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646835">
    <w:abstractNumId w:val="6"/>
  </w:num>
  <w:num w:numId="2" w16cid:durableId="1804929616">
    <w:abstractNumId w:val="5"/>
  </w:num>
  <w:num w:numId="3" w16cid:durableId="416564518">
    <w:abstractNumId w:val="4"/>
  </w:num>
  <w:num w:numId="4" w16cid:durableId="1247350270">
    <w:abstractNumId w:val="0"/>
  </w:num>
  <w:num w:numId="5" w16cid:durableId="643851054">
    <w:abstractNumId w:val="3"/>
  </w:num>
  <w:num w:numId="6" w16cid:durableId="789788731">
    <w:abstractNumId w:val="1"/>
  </w:num>
  <w:num w:numId="7" w16cid:durableId="1350136840">
    <w:abstractNumId w:val="7"/>
  </w:num>
  <w:num w:numId="8" w16cid:durableId="1511679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9B"/>
    <w:rsid w:val="001D01DB"/>
    <w:rsid w:val="00274CDA"/>
    <w:rsid w:val="004D40C5"/>
    <w:rsid w:val="005D172A"/>
    <w:rsid w:val="005F79EC"/>
    <w:rsid w:val="00B354D8"/>
    <w:rsid w:val="00BB68BD"/>
    <w:rsid w:val="00C15B33"/>
    <w:rsid w:val="00F30F9B"/>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C98F"/>
  <w15:chartTrackingRefBased/>
  <w15:docId w15:val="{47FA2F47-BA65-4C4B-8E25-CB6C4F2A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F9B"/>
    <w:rPr>
      <w:rFonts w:eastAsiaTheme="majorEastAsia" w:cstheme="majorBidi"/>
      <w:color w:val="272727" w:themeColor="text1" w:themeTint="D8"/>
    </w:rPr>
  </w:style>
  <w:style w:type="paragraph" w:styleId="Title">
    <w:name w:val="Title"/>
    <w:basedOn w:val="Normal"/>
    <w:next w:val="Normal"/>
    <w:link w:val="TitleChar"/>
    <w:uiPriority w:val="10"/>
    <w:qFormat/>
    <w:rsid w:val="00F30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F9B"/>
    <w:pPr>
      <w:spacing w:before="160"/>
      <w:jc w:val="center"/>
    </w:pPr>
    <w:rPr>
      <w:i/>
      <w:iCs/>
      <w:color w:val="404040" w:themeColor="text1" w:themeTint="BF"/>
    </w:rPr>
  </w:style>
  <w:style w:type="character" w:customStyle="1" w:styleId="QuoteChar">
    <w:name w:val="Quote Char"/>
    <w:basedOn w:val="DefaultParagraphFont"/>
    <w:link w:val="Quote"/>
    <w:uiPriority w:val="29"/>
    <w:rsid w:val="00F30F9B"/>
    <w:rPr>
      <w:i/>
      <w:iCs/>
      <w:color w:val="404040" w:themeColor="text1" w:themeTint="BF"/>
    </w:rPr>
  </w:style>
  <w:style w:type="paragraph" w:styleId="ListParagraph">
    <w:name w:val="List Paragraph"/>
    <w:basedOn w:val="Normal"/>
    <w:uiPriority w:val="34"/>
    <w:qFormat/>
    <w:rsid w:val="00F30F9B"/>
    <w:pPr>
      <w:ind w:left="720"/>
      <w:contextualSpacing/>
    </w:pPr>
  </w:style>
  <w:style w:type="character" w:styleId="IntenseEmphasis">
    <w:name w:val="Intense Emphasis"/>
    <w:basedOn w:val="DefaultParagraphFont"/>
    <w:uiPriority w:val="21"/>
    <w:qFormat/>
    <w:rsid w:val="00F30F9B"/>
    <w:rPr>
      <w:i/>
      <w:iCs/>
      <w:color w:val="2F5496" w:themeColor="accent1" w:themeShade="BF"/>
    </w:rPr>
  </w:style>
  <w:style w:type="paragraph" w:styleId="IntenseQuote">
    <w:name w:val="Intense Quote"/>
    <w:basedOn w:val="Normal"/>
    <w:next w:val="Normal"/>
    <w:link w:val="IntenseQuoteChar"/>
    <w:uiPriority w:val="30"/>
    <w:qFormat/>
    <w:rsid w:val="00F30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F9B"/>
    <w:rPr>
      <w:i/>
      <w:iCs/>
      <w:color w:val="2F5496" w:themeColor="accent1" w:themeShade="BF"/>
    </w:rPr>
  </w:style>
  <w:style w:type="character" w:styleId="IntenseReference">
    <w:name w:val="Intense Reference"/>
    <w:basedOn w:val="DefaultParagraphFont"/>
    <w:uiPriority w:val="32"/>
    <w:qFormat/>
    <w:rsid w:val="00F30F9B"/>
    <w:rPr>
      <w:b/>
      <w:bCs/>
      <w:smallCaps/>
      <w:color w:val="2F5496" w:themeColor="accent1" w:themeShade="BF"/>
      <w:spacing w:val="5"/>
    </w:rPr>
  </w:style>
  <w:style w:type="character" w:styleId="Hyperlink">
    <w:name w:val="Hyperlink"/>
    <w:basedOn w:val="DefaultParagraphFont"/>
    <w:uiPriority w:val="99"/>
    <w:unhideWhenUsed/>
    <w:rsid w:val="00F30F9B"/>
    <w:rPr>
      <w:color w:val="0563C1" w:themeColor="hyperlink"/>
      <w:u w:val="single"/>
    </w:rPr>
  </w:style>
  <w:style w:type="character" w:styleId="UnresolvedMention">
    <w:name w:val="Unresolved Mention"/>
    <w:basedOn w:val="DefaultParagraphFont"/>
    <w:uiPriority w:val="99"/>
    <w:semiHidden/>
    <w:unhideWhenUsed/>
    <w:rsid w:val="00F30F9B"/>
    <w:rPr>
      <w:color w:val="605E5C"/>
      <w:shd w:val="clear" w:color="auto" w:fill="E1DFDD"/>
    </w:rPr>
  </w:style>
  <w:style w:type="character" w:styleId="PlaceholderText">
    <w:name w:val="Placeholder Text"/>
    <w:basedOn w:val="DefaultParagraphFont"/>
    <w:uiPriority w:val="99"/>
    <w:semiHidden/>
    <w:rsid w:val="005D17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344">
      <w:bodyDiv w:val="1"/>
      <w:marLeft w:val="0"/>
      <w:marRight w:val="0"/>
      <w:marTop w:val="0"/>
      <w:marBottom w:val="0"/>
      <w:divBdr>
        <w:top w:val="none" w:sz="0" w:space="0" w:color="auto"/>
        <w:left w:val="none" w:sz="0" w:space="0" w:color="auto"/>
        <w:bottom w:val="none" w:sz="0" w:space="0" w:color="auto"/>
        <w:right w:val="none" w:sz="0" w:space="0" w:color="auto"/>
      </w:divBdr>
    </w:div>
    <w:div w:id="54620381">
      <w:bodyDiv w:val="1"/>
      <w:marLeft w:val="0"/>
      <w:marRight w:val="0"/>
      <w:marTop w:val="0"/>
      <w:marBottom w:val="0"/>
      <w:divBdr>
        <w:top w:val="none" w:sz="0" w:space="0" w:color="auto"/>
        <w:left w:val="none" w:sz="0" w:space="0" w:color="auto"/>
        <w:bottom w:val="none" w:sz="0" w:space="0" w:color="auto"/>
        <w:right w:val="none" w:sz="0" w:space="0" w:color="auto"/>
      </w:divBdr>
    </w:div>
    <w:div w:id="126625452">
      <w:bodyDiv w:val="1"/>
      <w:marLeft w:val="0"/>
      <w:marRight w:val="0"/>
      <w:marTop w:val="0"/>
      <w:marBottom w:val="0"/>
      <w:divBdr>
        <w:top w:val="none" w:sz="0" w:space="0" w:color="auto"/>
        <w:left w:val="none" w:sz="0" w:space="0" w:color="auto"/>
        <w:bottom w:val="none" w:sz="0" w:space="0" w:color="auto"/>
        <w:right w:val="none" w:sz="0" w:space="0" w:color="auto"/>
      </w:divBdr>
    </w:div>
    <w:div w:id="237256582">
      <w:bodyDiv w:val="1"/>
      <w:marLeft w:val="0"/>
      <w:marRight w:val="0"/>
      <w:marTop w:val="0"/>
      <w:marBottom w:val="0"/>
      <w:divBdr>
        <w:top w:val="none" w:sz="0" w:space="0" w:color="auto"/>
        <w:left w:val="none" w:sz="0" w:space="0" w:color="auto"/>
        <w:bottom w:val="none" w:sz="0" w:space="0" w:color="auto"/>
        <w:right w:val="none" w:sz="0" w:space="0" w:color="auto"/>
      </w:divBdr>
    </w:div>
    <w:div w:id="1141995370">
      <w:bodyDiv w:val="1"/>
      <w:marLeft w:val="0"/>
      <w:marRight w:val="0"/>
      <w:marTop w:val="0"/>
      <w:marBottom w:val="0"/>
      <w:divBdr>
        <w:top w:val="none" w:sz="0" w:space="0" w:color="auto"/>
        <w:left w:val="none" w:sz="0" w:space="0" w:color="auto"/>
        <w:bottom w:val="none" w:sz="0" w:space="0" w:color="auto"/>
        <w:right w:val="none" w:sz="0" w:space="0" w:color="auto"/>
      </w:divBdr>
    </w:div>
    <w:div w:id="1409500567">
      <w:bodyDiv w:val="1"/>
      <w:marLeft w:val="0"/>
      <w:marRight w:val="0"/>
      <w:marTop w:val="0"/>
      <w:marBottom w:val="0"/>
      <w:divBdr>
        <w:top w:val="none" w:sz="0" w:space="0" w:color="auto"/>
        <w:left w:val="none" w:sz="0" w:space="0" w:color="auto"/>
        <w:bottom w:val="none" w:sz="0" w:space="0" w:color="auto"/>
        <w:right w:val="none" w:sz="0" w:space="0" w:color="auto"/>
      </w:divBdr>
    </w:div>
    <w:div w:id="1602957418">
      <w:bodyDiv w:val="1"/>
      <w:marLeft w:val="0"/>
      <w:marRight w:val="0"/>
      <w:marTop w:val="0"/>
      <w:marBottom w:val="0"/>
      <w:divBdr>
        <w:top w:val="none" w:sz="0" w:space="0" w:color="auto"/>
        <w:left w:val="none" w:sz="0" w:space="0" w:color="auto"/>
        <w:bottom w:val="none" w:sz="0" w:space="0" w:color="auto"/>
        <w:right w:val="none" w:sz="0" w:space="0" w:color="auto"/>
      </w:divBdr>
    </w:div>
    <w:div w:id="18541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aquaculture-market" TargetMode="External"/><Relationship Id="rId5" Type="http://schemas.openxmlformats.org/officeDocument/2006/relationships/hyperlink" Target="https://www.skyquestt.com/sample-request/aquacultur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2025-04-30T19:30:00Z</dcterms:created>
  <dcterms:modified xsi:type="dcterms:W3CDTF">2025-04-30T19:32:00Z</dcterms:modified>
</cp:coreProperties>
</file>