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3D44" w14:textId="5E7EF80C" w:rsidR="005236FE" w:rsidRDefault="005236FE" w:rsidP="005236FE">
      <w:pPr>
        <w:rPr>
          <w:b/>
          <w:bCs/>
        </w:rPr>
      </w:pPr>
      <w:r w:rsidRPr="005236FE">
        <w:rPr>
          <w:b/>
          <w:bCs/>
        </w:rPr>
        <w:t>メタノール市場は2025年の消費者トレンドの変化を探る</w:t>
      </w:r>
    </w:p>
    <w:p w14:paraId="15AD94A0" w14:textId="5B5112FC" w:rsidR="005236FE" w:rsidRDefault="005236FE" w:rsidP="005236FE">
      <w:r w:rsidRPr="005236FE">
        <w:t xml:space="preserve">メタノール市場の成長を加速させる主要な要因の1つは、生産技術の継続的な革新です。 </w:t>
      </w:r>
      <w:r w:rsidRPr="005236FE">
        <w:rPr>
          <w:b/>
          <w:bCs/>
        </w:rPr>
        <w:t>メタノール-オレフィン(MTO)</w:t>
      </w:r>
      <w:r w:rsidRPr="005236FE">
        <w:t xml:space="preserve"> プロセスの進歩により、メタノールをエチレンやプロピレンなどの需要の高い石油化学製品に効率的に変換できるようになりました。この開発は、従来の炭化水素原料へのアクセスが限られている地域にとって特に重要であり、貴重な化学製品への代替ルートを提供します。</w:t>
      </w:r>
    </w:p>
    <w:p w14:paraId="6E1D3F44" w14:textId="77777777" w:rsidR="005236FE" w:rsidRPr="005236FE" w:rsidRDefault="005236FE" w:rsidP="005236FE">
      <w:pPr>
        <w:rPr>
          <w:b/>
          <w:bCs/>
        </w:rPr>
      </w:pPr>
      <w:r w:rsidRPr="005236FE">
        <w:rPr>
          <w:b/>
          <w:bCs/>
        </w:rPr>
        <w:t>メタノールの市場規模は2023年に323億米ドルと評価され、2024年の334億3000万米ドルから2032年までに440億2000万米ドルに成長し、予測期間(2025年から2032年)の間に3.5%のCAGRで成長する態勢を整えています。</w:t>
      </w:r>
    </w:p>
    <w:p w14:paraId="34D303B9" w14:textId="30F73DBD" w:rsidR="005236FE" w:rsidRPr="005236FE" w:rsidRDefault="005236FE" w:rsidP="005236FE">
      <w:r>
        <w:t xml:space="preserve">無料サンプルレポートを入手する: </w:t>
      </w:r>
      <w:hyperlink r:id="rId5" w:history="1">
        <w:r w:rsidRPr="00647246">
          <w:rPr>
            <w:rStyle w:val="Hyperlink"/>
          </w:rPr>
          <w:t>https://www.skyquestt.com/sample-request/methanol-market</w:t>
        </w:r>
      </w:hyperlink>
      <w:r>
        <w:t xml:space="preserve"> </w:t>
      </w:r>
    </w:p>
    <w:p w14:paraId="3F2B7F9D" w14:textId="77777777" w:rsidR="005236FE" w:rsidRPr="005236FE" w:rsidRDefault="005236FE" w:rsidP="005236FE">
      <w:r w:rsidRPr="005236FE">
        <w:t>さらに、二酸化炭素回収・利用(CCU)</w:t>
      </w:r>
      <w:r w:rsidRPr="005236FE">
        <w:rPr>
          <w:b/>
          <w:bCs/>
        </w:rPr>
        <w:t xml:space="preserve">技術の台頭 </w:t>
      </w:r>
      <w:r w:rsidRPr="005236FE">
        <w:t xml:space="preserve"> により、回収された二酸化炭素をメタノールに変換することで、より持続可能なメタノール生産が可能になりつつあります。これは、産業の二酸化炭素排出量を削減するだけでなく、排出量を貴重な原材料に変換し、世界的な脱炭素化の目標に合致します。</w:t>
      </w:r>
    </w:p>
    <w:p w14:paraId="02CB7A70" w14:textId="77777777" w:rsidR="005236FE" w:rsidRPr="005236FE" w:rsidRDefault="005236FE" w:rsidP="005236FE">
      <w:r w:rsidRPr="005236FE">
        <w:rPr>
          <w:b/>
          <w:bCs/>
        </w:rPr>
        <w:t>再生可能メタノールの成長</w:t>
      </w:r>
    </w:p>
    <w:p w14:paraId="5324CA57" w14:textId="77777777" w:rsidR="005236FE" w:rsidRPr="005236FE" w:rsidRDefault="005236FE" w:rsidP="005236FE">
      <w:r w:rsidRPr="005236FE">
        <w:t>バイオマス、二酸化炭素、またはグリーン水素から製造される再生可能メタノールは、世界のエネルギー移行におけるゲームチェンジャーとして浮上しています。二酸化炭素排出量がほぼゼロであるため、海運および航空セクターにおけるクリーン燃料の代替品の最有力候補となっています。国や企業がネットゼロへの取り組みを強化するにつれて、再生可能なメタノールの需要は劇的に急増すると予想されます。</w:t>
      </w:r>
    </w:p>
    <w:p w14:paraId="45735987" w14:textId="77777777" w:rsidR="005236FE" w:rsidRPr="005236FE" w:rsidRDefault="005236FE" w:rsidP="005236FE">
      <w:r w:rsidRPr="005236FE">
        <w:t xml:space="preserve">欧州連合(EU)とアジア太平洋地域のいくつかの国は </w:t>
      </w:r>
      <w:r w:rsidRPr="005236FE">
        <w:t xml:space="preserve"> 、特に海上燃料市場において、グリーンメタノールの生産と利用を支援するためのインフラに多額の投資を行っています。この傾向は、持続可能性とイノベーションに焦点を当てた市場プレーヤーに新たな道を開く可能性があります。</w:t>
      </w:r>
    </w:p>
    <w:p w14:paraId="753E6C6D" w14:textId="77777777" w:rsidR="005236FE" w:rsidRPr="005236FE" w:rsidRDefault="005236FE" w:rsidP="005236FE">
      <w:r w:rsidRPr="005236FE">
        <w:rPr>
          <w:b/>
          <w:bCs/>
        </w:rPr>
        <w:t>競争環境と戦略的イニシアチブ</w:t>
      </w:r>
    </w:p>
    <w:p w14:paraId="76D29060" w14:textId="77777777" w:rsidR="005236FE" w:rsidRPr="005236FE" w:rsidRDefault="005236FE" w:rsidP="005236FE">
      <w:r w:rsidRPr="005236FE">
        <w:t>メタノール市場は非常に競争が激しく、Methanex Corporation、SABIC、OCI N.V.、Mitsubishi Gas Chemical Companyなどの主要なプレーヤーがいます。これらの企業は、以下のことに積極的に関与しています。</w:t>
      </w:r>
    </w:p>
    <w:p w14:paraId="06F9999B" w14:textId="77777777" w:rsidR="005236FE" w:rsidRPr="005236FE" w:rsidRDefault="005236FE" w:rsidP="005236FE">
      <w:pPr>
        <w:numPr>
          <w:ilvl w:val="0"/>
          <w:numId w:val="1"/>
        </w:numPr>
      </w:pPr>
      <w:r w:rsidRPr="005236FE">
        <w:rPr>
          <w:b/>
          <w:bCs/>
        </w:rPr>
        <w:t xml:space="preserve"> 増大する需要に対応するための</w:t>
      </w:r>
      <w:r w:rsidRPr="005236FE">
        <w:t>容量拡張。</w:t>
      </w:r>
    </w:p>
    <w:p w14:paraId="308683FC" w14:textId="77777777" w:rsidR="005236FE" w:rsidRPr="005236FE" w:rsidRDefault="005236FE" w:rsidP="005236FE">
      <w:pPr>
        <w:numPr>
          <w:ilvl w:val="0"/>
          <w:numId w:val="1"/>
        </w:numPr>
      </w:pPr>
      <w:r w:rsidRPr="005236FE">
        <w:rPr>
          <w:b/>
          <w:bCs/>
        </w:rPr>
        <w:lastRenderedPageBreak/>
        <w:t>戦略的パートナーシップと合弁事業により</w:t>
      </w:r>
      <w:r w:rsidRPr="005236FE">
        <w:t>、新しい市場に参入したり、原材料の供給を確保したりします。</w:t>
      </w:r>
    </w:p>
    <w:p w14:paraId="338228A0" w14:textId="77777777" w:rsidR="005236FE" w:rsidRPr="005236FE" w:rsidRDefault="005236FE" w:rsidP="005236FE">
      <w:pPr>
        <w:numPr>
          <w:ilvl w:val="0"/>
          <w:numId w:val="1"/>
        </w:numPr>
      </w:pPr>
      <w:r w:rsidRPr="005236FE">
        <w:rPr>
          <w:b/>
          <w:bCs/>
        </w:rPr>
        <w:t xml:space="preserve"> 持続可能な製品に対する規制や消費者の要求に先んじるための</w:t>
      </w:r>
      <w:r w:rsidRPr="005236FE">
        <w:t>グリーンメタノール生産への投資。</w:t>
      </w:r>
    </w:p>
    <w:p w14:paraId="235D3FF1" w14:textId="77777777" w:rsidR="005236FE" w:rsidRPr="005236FE" w:rsidRDefault="005236FE" w:rsidP="005236FE">
      <w:r w:rsidRPr="005236FE">
        <w:t>例えば、いくつかの企業が、政府の有利な政策やクリーンエネルギー投資のインセンティブに支えられて、北米と中東に大規模なグリーンメタノールプラントを設立することを発表しました。</w:t>
      </w:r>
    </w:p>
    <w:p w14:paraId="4B6AD4C5" w14:textId="77777777" w:rsidR="005236FE" w:rsidRPr="005236FE" w:rsidRDefault="005236FE" w:rsidP="005236FE">
      <w:r w:rsidRPr="005236FE">
        <w:rPr>
          <w:b/>
          <w:bCs/>
        </w:rPr>
        <w:t>見通しと機会</w:t>
      </w:r>
    </w:p>
    <w:p w14:paraId="5C7169B3" w14:textId="77777777" w:rsidR="005236FE" w:rsidRPr="005236FE" w:rsidRDefault="005236FE" w:rsidP="005236FE">
      <w:r w:rsidRPr="005236FE">
        <w:t>今後、メタノール市場はイノベーションと成長のための多くの機会を提供します。</w:t>
      </w:r>
    </w:p>
    <w:p w14:paraId="05F0D398" w14:textId="77777777" w:rsidR="005236FE" w:rsidRPr="005236FE" w:rsidRDefault="005236FE" w:rsidP="005236FE">
      <w:pPr>
        <w:numPr>
          <w:ilvl w:val="0"/>
          <w:numId w:val="2"/>
        </w:numPr>
      </w:pPr>
      <w:r w:rsidRPr="005236FE">
        <w:rPr>
          <w:b/>
          <w:bCs/>
        </w:rPr>
        <w:t>輸送および輸送用燃料</w:t>
      </w:r>
      <w:r w:rsidRPr="005236FE">
        <w:t>:IMOの規制が厳しくなるにつれ、メタノールは硫黄や粒子状物質の排出量が少ないため、船舶用燃料として注目を集めています。</w:t>
      </w:r>
    </w:p>
    <w:p w14:paraId="02F2205A" w14:textId="77777777" w:rsidR="005236FE" w:rsidRPr="005236FE" w:rsidRDefault="005236FE" w:rsidP="005236FE">
      <w:pPr>
        <w:numPr>
          <w:ilvl w:val="0"/>
          <w:numId w:val="2"/>
        </w:numPr>
      </w:pPr>
      <w:r w:rsidRPr="005236FE">
        <w:rPr>
          <w:b/>
          <w:bCs/>
        </w:rPr>
        <w:t>混合燃料</w:t>
      </w:r>
      <w:r w:rsidRPr="005236FE">
        <w:t>:メタノールとガソリンを混合すると、排出量を削減し、オクタン価を高めることができ、燃料基準を満たすための費用対効果の高い方法を提供します。</w:t>
      </w:r>
    </w:p>
    <w:p w14:paraId="1DCFBDAB" w14:textId="77777777" w:rsidR="005236FE" w:rsidRPr="005236FE" w:rsidRDefault="005236FE" w:rsidP="005236FE">
      <w:pPr>
        <w:numPr>
          <w:ilvl w:val="0"/>
          <w:numId w:val="2"/>
        </w:numPr>
      </w:pPr>
      <w:r w:rsidRPr="005236FE">
        <w:rPr>
          <w:b/>
          <w:bCs/>
        </w:rPr>
        <w:t>水素経済</w:t>
      </w:r>
      <w:r w:rsidRPr="005236FE">
        <w:t>:メタノールは、その高いエネルギー密度と貯蔵の容易さにより、水素キャリアとして探求されており、水素経済において潜在的な役割を果たしています。</w:t>
      </w:r>
    </w:p>
    <w:p w14:paraId="2D34F21F" w14:textId="77777777" w:rsidR="005236FE" w:rsidRPr="005236FE" w:rsidRDefault="005236FE" w:rsidP="005236FE">
      <w:pPr>
        <w:rPr>
          <w:b/>
          <w:bCs/>
        </w:rPr>
      </w:pPr>
      <w:r w:rsidRPr="005236FE">
        <w:rPr>
          <w:b/>
          <w:bCs/>
        </w:rPr>
        <w:t>メタノール市場のトッププレーヤー</w:t>
      </w:r>
    </w:p>
    <w:p w14:paraId="6339692D" w14:textId="77777777" w:rsidR="005236FE" w:rsidRPr="005236FE" w:rsidRDefault="005236FE" w:rsidP="005236FE">
      <w:pPr>
        <w:numPr>
          <w:ilvl w:val="0"/>
          <w:numId w:val="3"/>
        </w:numPr>
        <w:rPr>
          <w:b/>
          <w:bCs/>
        </w:rPr>
      </w:pPr>
      <w:r w:rsidRPr="005236FE">
        <w:rPr>
          <w:b/>
          <w:bCs/>
        </w:rPr>
        <w:t>Methanex Corporation (カナダ)</w:t>
      </w:r>
    </w:p>
    <w:p w14:paraId="2C84BBFD" w14:textId="77777777" w:rsidR="005236FE" w:rsidRPr="005236FE" w:rsidRDefault="005236FE" w:rsidP="005236FE">
      <w:pPr>
        <w:numPr>
          <w:ilvl w:val="0"/>
          <w:numId w:val="3"/>
        </w:numPr>
        <w:rPr>
          <w:b/>
          <w:bCs/>
        </w:rPr>
      </w:pPr>
      <w:r w:rsidRPr="005236FE">
        <w:rPr>
          <w:b/>
          <w:bCs/>
        </w:rPr>
        <w:t>SABIC (サウジアラビア)</w:t>
      </w:r>
    </w:p>
    <w:p w14:paraId="7B2CAE2D" w14:textId="77777777" w:rsidR="005236FE" w:rsidRPr="005236FE" w:rsidRDefault="005236FE" w:rsidP="005236FE">
      <w:pPr>
        <w:numPr>
          <w:ilvl w:val="0"/>
          <w:numId w:val="3"/>
        </w:numPr>
        <w:rPr>
          <w:b/>
          <w:bCs/>
        </w:rPr>
      </w:pPr>
      <w:r w:rsidRPr="005236FE">
        <w:rPr>
          <w:b/>
          <w:bCs/>
        </w:rPr>
        <w:t>Petrobras(ブラジル)</w:t>
      </w:r>
    </w:p>
    <w:p w14:paraId="7C22E94F" w14:textId="77777777" w:rsidR="005236FE" w:rsidRPr="005236FE" w:rsidRDefault="005236FE" w:rsidP="005236FE">
      <w:pPr>
        <w:numPr>
          <w:ilvl w:val="0"/>
          <w:numId w:val="3"/>
        </w:numPr>
        <w:rPr>
          <w:b/>
          <w:bCs/>
        </w:rPr>
      </w:pPr>
      <w:r w:rsidRPr="005236FE">
        <w:rPr>
          <w:b/>
          <w:bCs/>
        </w:rPr>
        <w:t>OCI N.V. (オランダ)</w:t>
      </w:r>
    </w:p>
    <w:p w14:paraId="625D6A5E" w14:textId="77777777" w:rsidR="005236FE" w:rsidRPr="005236FE" w:rsidRDefault="005236FE" w:rsidP="005236FE">
      <w:pPr>
        <w:numPr>
          <w:ilvl w:val="0"/>
          <w:numId w:val="3"/>
        </w:numPr>
        <w:rPr>
          <w:b/>
          <w:bCs/>
        </w:rPr>
      </w:pPr>
      <w:r w:rsidRPr="005236FE">
        <w:rPr>
          <w:b/>
          <w:bCs/>
        </w:rPr>
        <w:t>三菱ガス化学株式会社(日本)</w:t>
      </w:r>
    </w:p>
    <w:p w14:paraId="34C67CEE" w14:textId="77777777" w:rsidR="005236FE" w:rsidRPr="005236FE" w:rsidRDefault="005236FE" w:rsidP="005236FE">
      <w:pPr>
        <w:numPr>
          <w:ilvl w:val="0"/>
          <w:numId w:val="3"/>
        </w:numPr>
        <w:rPr>
          <w:b/>
          <w:bCs/>
        </w:rPr>
      </w:pPr>
      <w:r w:rsidRPr="005236FE">
        <w:rPr>
          <w:b/>
          <w:bCs/>
        </w:rPr>
        <w:t>セラニーズコーポレーション(米国)</w:t>
      </w:r>
    </w:p>
    <w:p w14:paraId="3DB375B3" w14:textId="77777777" w:rsidR="005236FE" w:rsidRPr="005236FE" w:rsidRDefault="005236FE" w:rsidP="005236FE">
      <w:pPr>
        <w:numPr>
          <w:ilvl w:val="0"/>
          <w:numId w:val="3"/>
        </w:numPr>
        <w:rPr>
          <w:b/>
          <w:bCs/>
        </w:rPr>
      </w:pPr>
      <w:r w:rsidRPr="005236FE">
        <w:rPr>
          <w:b/>
          <w:bCs/>
        </w:rPr>
        <w:t>LyondellBasell Industries N.V.(オランダ)</w:t>
      </w:r>
    </w:p>
    <w:p w14:paraId="28B7398F" w14:textId="77777777" w:rsidR="005236FE" w:rsidRPr="005236FE" w:rsidRDefault="005236FE" w:rsidP="005236FE">
      <w:pPr>
        <w:numPr>
          <w:ilvl w:val="0"/>
          <w:numId w:val="3"/>
        </w:numPr>
        <w:rPr>
          <w:b/>
          <w:bCs/>
        </w:rPr>
      </w:pPr>
      <w:r w:rsidRPr="005236FE">
        <w:rPr>
          <w:b/>
          <w:bCs/>
        </w:rPr>
        <w:t>Southern Chemical Corporation(米国)</w:t>
      </w:r>
    </w:p>
    <w:p w14:paraId="1827DB26" w14:textId="77777777" w:rsidR="005236FE" w:rsidRPr="005236FE" w:rsidRDefault="005236FE" w:rsidP="005236FE">
      <w:pPr>
        <w:numPr>
          <w:ilvl w:val="0"/>
          <w:numId w:val="3"/>
        </w:numPr>
        <w:rPr>
          <w:b/>
          <w:bCs/>
        </w:rPr>
      </w:pPr>
      <w:r w:rsidRPr="005236FE">
        <w:rPr>
          <w:b/>
          <w:bCs/>
        </w:rPr>
        <w:t>Helm AG(ドイツ)</w:t>
      </w:r>
    </w:p>
    <w:p w14:paraId="4C0EFD1F" w14:textId="77777777" w:rsidR="005236FE" w:rsidRPr="005236FE" w:rsidRDefault="005236FE" w:rsidP="005236FE">
      <w:pPr>
        <w:numPr>
          <w:ilvl w:val="0"/>
          <w:numId w:val="3"/>
        </w:numPr>
        <w:rPr>
          <w:b/>
          <w:bCs/>
        </w:rPr>
      </w:pPr>
      <w:proofErr w:type="spellStart"/>
      <w:r w:rsidRPr="005236FE">
        <w:rPr>
          <w:b/>
          <w:bCs/>
        </w:rPr>
        <w:t>Proman</w:t>
      </w:r>
      <w:proofErr w:type="spellEnd"/>
      <w:r w:rsidRPr="005236FE">
        <w:rPr>
          <w:b/>
          <w:bCs/>
        </w:rPr>
        <w:t xml:space="preserve"> Group (</w:t>
      </w:r>
      <w:proofErr w:type="spellStart"/>
      <w:r w:rsidRPr="005236FE">
        <w:rPr>
          <w:b/>
          <w:bCs/>
        </w:rPr>
        <w:t>スイス</w:t>
      </w:r>
      <w:proofErr w:type="spellEnd"/>
      <w:r w:rsidRPr="005236FE">
        <w:rPr>
          <w:b/>
          <w:bCs/>
        </w:rPr>
        <w:t>)</w:t>
      </w:r>
    </w:p>
    <w:p w14:paraId="76117091" w14:textId="77777777" w:rsidR="005236FE" w:rsidRPr="005236FE" w:rsidRDefault="005236FE" w:rsidP="005236FE">
      <w:pPr>
        <w:numPr>
          <w:ilvl w:val="0"/>
          <w:numId w:val="3"/>
        </w:numPr>
        <w:rPr>
          <w:b/>
          <w:bCs/>
        </w:rPr>
      </w:pPr>
      <w:r w:rsidRPr="005236FE">
        <w:rPr>
          <w:b/>
          <w:bCs/>
        </w:rPr>
        <w:lastRenderedPageBreak/>
        <w:t>ザグロス石油化学会社(イラン)</w:t>
      </w:r>
    </w:p>
    <w:p w14:paraId="16185082" w14:textId="77777777" w:rsidR="005236FE" w:rsidRPr="005236FE" w:rsidRDefault="005236FE" w:rsidP="005236FE">
      <w:pPr>
        <w:numPr>
          <w:ilvl w:val="0"/>
          <w:numId w:val="3"/>
        </w:numPr>
        <w:rPr>
          <w:b/>
          <w:bCs/>
        </w:rPr>
      </w:pPr>
      <w:r w:rsidRPr="005236FE">
        <w:rPr>
          <w:b/>
          <w:bCs/>
        </w:rPr>
        <w:t>中国石油天然気集団公司(CNPC)(中国)</w:t>
      </w:r>
    </w:p>
    <w:p w14:paraId="3DD53902" w14:textId="77777777" w:rsidR="005236FE" w:rsidRPr="005236FE" w:rsidRDefault="005236FE" w:rsidP="005236FE">
      <w:pPr>
        <w:numPr>
          <w:ilvl w:val="0"/>
          <w:numId w:val="3"/>
        </w:numPr>
        <w:rPr>
          <w:b/>
          <w:bCs/>
        </w:rPr>
      </w:pPr>
      <w:r w:rsidRPr="005236FE">
        <w:rPr>
          <w:b/>
          <w:bCs/>
        </w:rPr>
        <w:t>Sinopec (中国)</w:t>
      </w:r>
    </w:p>
    <w:p w14:paraId="37F8DAE4" w14:textId="77777777" w:rsidR="005236FE" w:rsidRPr="005236FE" w:rsidRDefault="005236FE" w:rsidP="005236FE">
      <w:pPr>
        <w:numPr>
          <w:ilvl w:val="0"/>
          <w:numId w:val="3"/>
        </w:numPr>
        <w:rPr>
          <w:b/>
          <w:bCs/>
        </w:rPr>
      </w:pPr>
      <w:proofErr w:type="spellStart"/>
      <w:r w:rsidRPr="005236FE">
        <w:rPr>
          <w:b/>
          <w:bCs/>
        </w:rPr>
        <w:t>Yankuang</w:t>
      </w:r>
      <w:proofErr w:type="spellEnd"/>
      <w:r w:rsidRPr="005236FE">
        <w:rPr>
          <w:b/>
          <w:bCs/>
        </w:rPr>
        <w:t xml:space="preserve"> Group (</w:t>
      </w:r>
      <w:proofErr w:type="spellStart"/>
      <w:r w:rsidRPr="005236FE">
        <w:rPr>
          <w:b/>
          <w:bCs/>
        </w:rPr>
        <w:t>中国</w:t>
      </w:r>
      <w:proofErr w:type="spellEnd"/>
      <w:r w:rsidRPr="005236FE">
        <w:rPr>
          <w:b/>
          <w:bCs/>
        </w:rPr>
        <w:t>)</w:t>
      </w:r>
    </w:p>
    <w:p w14:paraId="60F23C83" w14:textId="77777777" w:rsidR="005236FE" w:rsidRPr="005236FE" w:rsidRDefault="005236FE" w:rsidP="005236FE">
      <w:pPr>
        <w:numPr>
          <w:ilvl w:val="0"/>
          <w:numId w:val="3"/>
        </w:numPr>
        <w:rPr>
          <w:b/>
          <w:bCs/>
        </w:rPr>
      </w:pPr>
      <w:r w:rsidRPr="005236FE">
        <w:rPr>
          <w:b/>
          <w:bCs/>
        </w:rPr>
        <w:t>Indian Oil Corporation Ltd (インド)</w:t>
      </w:r>
    </w:p>
    <w:p w14:paraId="480845B5" w14:textId="77777777" w:rsidR="005236FE" w:rsidRPr="005236FE" w:rsidRDefault="005236FE" w:rsidP="005236FE">
      <w:pPr>
        <w:numPr>
          <w:ilvl w:val="0"/>
          <w:numId w:val="3"/>
        </w:numPr>
        <w:rPr>
          <w:b/>
          <w:bCs/>
        </w:rPr>
      </w:pPr>
      <w:r w:rsidRPr="005236FE">
        <w:rPr>
          <w:b/>
          <w:bCs/>
        </w:rPr>
        <w:t>National Iranian Petrochemical Company (NIPC) (イラン)</w:t>
      </w:r>
    </w:p>
    <w:p w14:paraId="0066FB9D" w14:textId="77777777" w:rsidR="005236FE" w:rsidRPr="005236FE" w:rsidRDefault="005236FE" w:rsidP="005236FE">
      <w:pPr>
        <w:numPr>
          <w:ilvl w:val="0"/>
          <w:numId w:val="3"/>
        </w:numPr>
        <w:rPr>
          <w:b/>
          <w:bCs/>
        </w:rPr>
      </w:pPr>
      <w:r w:rsidRPr="005236FE">
        <w:rPr>
          <w:b/>
          <w:bCs/>
        </w:rPr>
        <w:t>Methanol Holdings (Trinidad) Limited(トリニダード・トバゴ)</w:t>
      </w:r>
    </w:p>
    <w:p w14:paraId="09CF54C2" w14:textId="77777777" w:rsidR="005236FE" w:rsidRPr="005236FE" w:rsidRDefault="005236FE" w:rsidP="005236FE">
      <w:pPr>
        <w:numPr>
          <w:ilvl w:val="0"/>
          <w:numId w:val="3"/>
        </w:numPr>
        <w:rPr>
          <w:b/>
          <w:bCs/>
        </w:rPr>
      </w:pPr>
      <w:r w:rsidRPr="005236FE">
        <w:rPr>
          <w:b/>
          <w:bCs/>
        </w:rPr>
        <w:t>コンソリデーテッド・エナジー・リミテッド (CEL) (バーレーン)</w:t>
      </w:r>
    </w:p>
    <w:p w14:paraId="71F35C15" w14:textId="77777777" w:rsidR="005236FE" w:rsidRPr="005236FE" w:rsidRDefault="005236FE" w:rsidP="005236FE">
      <w:pPr>
        <w:numPr>
          <w:ilvl w:val="0"/>
          <w:numId w:val="3"/>
        </w:numPr>
        <w:rPr>
          <w:b/>
          <w:bCs/>
        </w:rPr>
      </w:pPr>
      <w:r w:rsidRPr="005236FE">
        <w:rPr>
          <w:b/>
          <w:bCs/>
        </w:rPr>
        <w:t>アブダビ国営石油会社(ADNOC)(アラブ首長国連邦)</w:t>
      </w:r>
    </w:p>
    <w:p w14:paraId="7A66DCF8" w14:textId="1CE3AF8C" w:rsidR="005236FE" w:rsidRPr="005236FE" w:rsidRDefault="005236FE" w:rsidP="005236FE">
      <w:pPr>
        <w:numPr>
          <w:ilvl w:val="0"/>
          <w:numId w:val="3"/>
        </w:numPr>
        <w:rPr>
          <w:b/>
          <w:bCs/>
        </w:rPr>
      </w:pPr>
      <w:r w:rsidRPr="005236FE">
        <w:rPr>
          <w:b/>
          <w:bCs/>
        </w:rPr>
        <w:t>ペトロナス(マレーシア)</w:t>
      </w:r>
    </w:p>
    <w:p w14:paraId="45ABF99A" w14:textId="2A618638" w:rsidR="005236FE" w:rsidRPr="005236FE" w:rsidRDefault="005236FE" w:rsidP="005236FE">
      <w:r w:rsidRPr="005236FE">
        <w:rPr>
          <w:b/>
          <w:bCs/>
        </w:rPr>
        <w:t>最終的な感想</w:t>
      </w:r>
    </w:p>
    <w:p w14:paraId="7193676D" w14:textId="77777777" w:rsidR="005236FE" w:rsidRDefault="005236FE" w:rsidP="005236FE">
      <w:r w:rsidRPr="005236FE">
        <w:t>メタノール市場は、持続可能性、技術革新、進化するエネルギー需要によって推進される変革期を迎えています。特に原料の持続可能性とインフラ開発をめぐる課題は残っていますが、見通しは依然として明るいままです。グリーンテクノロジーを優先し、ポートフォリオを多様化し、変化する規制環境に適応する市場プレーヤーは、この進化する環境で成功するために最適な立場に立つことができます。</w:t>
      </w:r>
    </w:p>
    <w:p w14:paraId="4E8E8D00" w14:textId="3D430BD7" w:rsidR="005236FE" w:rsidRPr="005236FE" w:rsidRDefault="005236FE" w:rsidP="005236FE">
      <w:proofErr w:type="spellStart"/>
      <w:r>
        <w:t>洞察に満ちたデータを取得するには、次のWebサイトにアクセスしてください</w:t>
      </w:r>
      <w:proofErr w:type="spellEnd"/>
      <w:r>
        <w:t xml:space="preserve"> https://www.skyquestt.com/report/methanol-market </w:t>
      </w:r>
      <w:hyperlink r:id="rId6" w:history="1"/>
      <w:r>
        <w:t xml:space="preserve">   </w:t>
      </w:r>
    </w:p>
    <w:p w14:paraId="28874EF0" w14:textId="0841C714"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3ABF"/>
    <w:multiLevelType w:val="multilevel"/>
    <w:tmpl w:val="DDFA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370DE"/>
    <w:multiLevelType w:val="multilevel"/>
    <w:tmpl w:val="7AF6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D031F"/>
    <w:multiLevelType w:val="multilevel"/>
    <w:tmpl w:val="F56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679663">
    <w:abstractNumId w:val="2"/>
  </w:num>
  <w:num w:numId="2" w16cid:durableId="1922173192">
    <w:abstractNumId w:val="1"/>
  </w:num>
  <w:num w:numId="3" w16cid:durableId="71967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FE"/>
    <w:rsid w:val="000B7402"/>
    <w:rsid w:val="00304666"/>
    <w:rsid w:val="004872B0"/>
    <w:rsid w:val="005236FE"/>
    <w:rsid w:val="008B70B4"/>
    <w:rsid w:val="00956673"/>
    <w:rsid w:val="00A46EAF"/>
    <w:rsid w:val="00AF57F4"/>
    <w:rsid w:val="00B0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328C"/>
  <w15:chartTrackingRefBased/>
  <w15:docId w15:val="{9EDE50B1-5F98-4D8B-93A4-DF23FE41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3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3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3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3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3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3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3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3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3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3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6FE"/>
    <w:rPr>
      <w:rFonts w:eastAsiaTheme="majorEastAsia" w:cstheme="majorBidi"/>
      <w:color w:val="272727" w:themeColor="text1" w:themeTint="D8"/>
    </w:rPr>
  </w:style>
  <w:style w:type="paragraph" w:styleId="Title">
    <w:name w:val="Title"/>
    <w:basedOn w:val="Normal"/>
    <w:next w:val="Normal"/>
    <w:link w:val="TitleChar"/>
    <w:uiPriority w:val="10"/>
    <w:qFormat/>
    <w:rsid w:val="00523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6FE"/>
    <w:pPr>
      <w:spacing w:before="160"/>
      <w:jc w:val="center"/>
    </w:pPr>
    <w:rPr>
      <w:i/>
      <w:iCs/>
      <w:color w:val="404040" w:themeColor="text1" w:themeTint="BF"/>
    </w:rPr>
  </w:style>
  <w:style w:type="character" w:customStyle="1" w:styleId="QuoteChar">
    <w:name w:val="Quote Char"/>
    <w:basedOn w:val="DefaultParagraphFont"/>
    <w:link w:val="Quote"/>
    <w:uiPriority w:val="29"/>
    <w:rsid w:val="005236FE"/>
    <w:rPr>
      <w:i/>
      <w:iCs/>
      <w:color w:val="404040" w:themeColor="text1" w:themeTint="BF"/>
    </w:rPr>
  </w:style>
  <w:style w:type="paragraph" w:styleId="ListParagraph">
    <w:name w:val="List Paragraph"/>
    <w:basedOn w:val="Normal"/>
    <w:uiPriority w:val="34"/>
    <w:qFormat/>
    <w:rsid w:val="005236FE"/>
    <w:pPr>
      <w:ind w:left="720"/>
      <w:contextualSpacing/>
    </w:pPr>
  </w:style>
  <w:style w:type="character" w:styleId="IntenseEmphasis">
    <w:name w:val="Intense Emphasis"/>
    <w:basedOn w:val="DefaultParagraphFont"/>
    <w:uiPriority w:val="21"/>
    <w:qFormat/>
    <w:rsid w:val="005236FE"/>
    <w:rPr>
      <w:i/>
      <w:iCs/>
      <w:color w:val="2F5496" w:themeColor="accent1" w:themeShade="BF"/>
    </w:rPr>
  </w:style>
  <w:style w:type="paragraph" w:styleId="IntenseQuote">
    <w:name w:val="Intense Quote"/>
    <w:basedOn w:val="Normal"/>
    <w:next w:val="Normal"/>
    <w:link w:val="IntenseQuoteChar"/>
    <w:uiPriority w:val="30"/>
    <w:qFormat/>
    <w:rsid w:val="00523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36FE"/>
    <w:rPr>
      <w:i/>
      <w:iCs/>
      <w:color w:val="2F5496" w:themeColor="accent1" w:themeShade="BF"/>
    </w:rPr>
  </w:style>
  <w:style w:type="character" w:styleId="IntenseReference">
    <w:name w:val="Intense Reference"/>
    <w:basedOn w:val="DefaultParagraphFont"/>
    <w:uiPriority w:val="32"/>
    <w:qFormat/>
    <w:rsid w:val="005236FE"/>
    <w:rPr>
      <w:b/>
      <w:bCs/>
      <w:smallCaps/>
      <w:color w:val="2F5496" w:themeColor="accent1" w:themeShade="BF"/>
      <w:spacing w:val="5"/>
    </w:rPr>
  </w:style>
  <w:style w:type="character" w:styleId="Hyperlink">
    <w:name w:val="Hyperlink"/>
    <w:basedOn w:val="DefaultParagraphFont"/>
    <w:uiPriority w:val="99"/>
    <w:unhideWhenUsed/>
    <w:rsid w:val="005236FE"/>
    <w:rPr>
      <w:color w:val="0563C1" w:themeColor="hyperlink"/>
      <w:u w:val="single"/>
    </w:rPr>
  </w:style>
  <w:style w:type="character" w:styleId="UnresolvedMention">
    <w:name w:val="Unresolved Mention"/>
    <w:basedOn w:val="DefaultParagraphFont"/>
    <w:uiPriority w:val="99"/>
    <w:semiHidden/>
    <w:unhideWhenUsed/>
    <w:rsid w:val="005236FE"/>
    <w:rPr>
      <w:color w:val="605E5C"/>
      <w:shd w:val="clear" w:color="auto" w:fill="E1DFDD"/>
    </w:rPr>
  </w:style>
  <w:style w:type="character" w:styleId="PlaceholderText">
    <w:name w:val="Placeholder Text"/>
    <w:basedOn w:val="DefaultParagraphFont"/>
    <w:uiPriority w:val="99"/>
    <w:semiHidden/>
    <w:rsid w:val="00AF57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20386">
      <w:bodyDiv w:val="1"/>
      <w:marLeft w:val="0"/>
      <w:marRight w:val="0"/>
      <w:marTop w:val="0"/>
      <w:marBottom w:val="0"/>
      <w:divBdr>
        <w:top w:val="none" w:sz="0" w:space="0" w:color="auto"/>
        <w:left w:val="none" w:sz="0" w:space="0" w:color="auto"/>
        <w:bottom w:val="none" w:sz="0" w:space="0" w:color="auto"/>
        <w:right w:val="none" w:sz="0" w:space="0" w:color="auto"/>
      </w:divBdr>
    </w:div>
    <w:div w:id="632298405">
      <w:bodyDiv w:val="1"/>
      <w:marLeft w:val="0"/>
      <w:marRight w:val="0"/>
      <w:marTop w:val="0"/>
      <w:marBottom w:val="0"/>
      <w:divBdr>
        <w:top w:val="none" w:sz="0" w:space="0" w:color="auto"/>
        <w:left w:val="none" w:sz="0" w:space="0" w:color="auto"/>
        <w:bottom w:val="none" w:sz="0" w:space="0" w:color="auto"/>
        <w:right w:val="none" w:sz="0" w:space="0" w:color="auto"/>
      </w:divBdr>
    </w:div>
    <w:div w:id="715397784">
      <w:bodyDiv w:val="1"/>
      <w:marLeft w:val="0"/>
      <w:marRight w:val="0"/>
      <w:marTop w:val="0"/>
      <w:marBottom w:val="0"/>
      <w:divBdr>
        <w:top w:val="none" w:sz="0" w:space="0" w:color="auto"/>
        <w:left w:val="none" w:sz="0" w:space="0" w:color="auto"/>
        <w:bottom w:val="none" w:sz="0" w:space="0" w:color="auto"/>
        <w:right w:val="none" w:sz="0" w:space="0" w:color="auto"/>
      </w:divBdr>
    </w:div>
    <w:div w:id="1456173961">
      <w:bodyDiv w:val="1"/>
      <w:marLeft w:val="0"/>
      <w:marRight w:val="0"/>
      <w:marTop w:val="0"/>
      <w:marBottom w:val="0"/>
      <w:divBdr>
        <w:top w:val="none" w:sz="0" w:space="0" w:color="auto"/>
        <w:left w:val="none" w:sz="0" w:space="0" w:color="auto"/>
        <w:bottom w:val="none" w:sz="0" w:space="0" w:color="auto"/>
        <w:right w:val="none" w:sz="0" w:space="0" w:color="auto"/>
      </w:divBdr>
    </w:div>
    <w:div w:id="1656490084">
      <w:bodyDiv w:val="1"/>
      <w:marLeft w:val="0"/>
      <w:marRight w:val="0"/>
      <w:marTop w:val="0"/>
      <w:marBottom w:val="0"/>
      <w:divBdr>
        <w:top w:val="none" w:sz="0" w:space="0" w:color="auto"/>
        <w:left w:val="none" w:sz="0" w:space="0" w:color="auto"/>
        <w:bottom w:val="none" w:sz="0" w:space="0" w:color="auto"/>
        <w:right w:val="none" w:sz="0" w:space="0" w:color="auto"/>
      </w:divBdr>
    </w:div>
    <w:div w:id="199290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methanol-market" TargetMode="External"/><Relationship Id="rId5" Type="http://schemas.openxmlformats.org/officeDocument/2006/relationships/hyperlink" Target="https://www.skyquestt.com/sample-request/methanol-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1</cp:revision>
  <dcterms:created xsi:type="dcterms:W3CDTF">2025-05-05T12:21:00Z</dcterms:created>
  <dcterms:modified xsi:type="dcterms:W3CDTF">2025-05-05T12:31:00Z</dcterms:modified>
</cp:coreProperties>
</file>