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5203E" w14:textId="0689FD74" w:rsidR="00E51CD4" w:rsidRPr="00E51CD4" w:rsidRDefault="00E51CD4" w:rsidP="00E51CD4">
      <w:pPr>
        <w:rPr>
          <w:b/>
          <w:bCs/>
        </w:rPr>
      </w:pPr>
      <w:r w:rsidRPr="00E51CD4">
        <w:rPr>
          <w:b/>
          <w:bCs/>
        </w:rPr>
        <w:t>北米の電卓市場は2032年までに6億3,340万米ドルに達し、年平均成長率2.0%で成長</w:t>
      </w:r>
    </w:p>
    <w:p w14:paraId="4405D0D3" w14:textId="77777777" w:rsidR="00E51CD4" w:rsidRDefault="00E51CD4" w:rsidP="00E51CD4">
      <w:r w:rsidRPr="00E51CD4">
        <w:t xml:space="preserve">電卓は、数値を使用して算術演算を実行するガジェットです。足し算、引き算、掛け算、除算を実行する電卓は、考えられる最も単純なものです。より洗練された電卓は指数演算や双曲線関数を処理でき、根関数、対数関数、三角関数は関数電卓とも呼ばれます。消費者は、数学的および計算的な問題を解決するためのツールとして電卓を利用します。 </w:t>
      </w:r>
    </w:p>
    <w:p w14:paraId="41A71F42" w14:textId="1546465B" w:rsidR="00E51CD4" w:rsidRDefault="00E51CD4" w:rsidP="00E51CD4">
      <w:pPr>
        <w:rPr>
          <w:b/>
          <w:bCs/>
        </w:rPr>
      </w:pPr>
      <w:r w:rsidRPr="00E51CD4">
        <w:rPr>
          <w:b/>
          <w:bCs/>
        </w:rPr>
        <w:t>北米の電卓市場規模は、2.0%年に5億3,000万米ドルと評価され、2024年の5億4,060万米ドルから2032年までに6億3,340万米ドルに成長し、予測期間(2025年から2032年)中に2.0%のCAGRで成長する見込みです。</w:t>
      </w:r>
    </w:p>
    <w:p w14:paraId="6DFF95B4" w14:textId="1EC3C3AA" w:rsidR="001025AD" w:rsidRPr="00E51CD4" w:rsidRDefault="001025AD" w:rsidP="00E51CD4">
      <w:pPr>
        <w:rPr>
          <w:b/>
          <w:bCs/>
        </w:rPr>
      </w:pPr>
      <w:r w:rsidRPr="001025AD">
        <w:rPr>
          <w:rFonts w:ascii="MS Gothic" w:eastAsia="MS Gothic" w:hAnsi="MS Gothic" w:cs="MS Gothic" w:hint="eastAsia"/>
          <w:b/>
          <w:bCs/>
        </w:rPr>
        <w:t>無料のサンプルレポートを入手してください</w:t>
      </w:r>
      <w:r w:rsidRPr="001025AD">
        <w:rPr>
          <w:b/>
          <w:bCs/>
        </w:rPr>
        <w:t>:</w:t>
      </w:r>
      <w:r>
        <w:rPr>
          <w:b/>
          <w:bCs/>
        </w:rPr>
        <w:t xml:space="preserve"> </w:t>
      </w:r>
      <w:hyperlink r:id="rId5" w:history="1">
        <w:r w:rsidR="003447FB" w:rsidRPr="00BE326A">
          <w:rPr>
            <w:rStyle w:val="Hyperlink"/>
            <w:b/>
            <w:bCs/>
          </w:rPr>
          <w:t>https://www.skyquestt.com/sample-request/north-american-calculators-market</w:t>
        </w:r>
      </w:hyperlink>
      <w:r w:rsidR="003447FB">
        <w:rPr>
          <w:b/>
          <w:bCs/>
        </w:rPr>
        <w:t xml:space="preserve"> </w:t>
      </w:r>
    </w:p>
    <w:p w14:paraId="3394FC92" w14:textId="77777777" w:rsidR="00E51CD4" w:rsidRPr="00E51CD4" w:rsidRDefault="00E51CD4" w:rsidP="00E51CD4">
      <w:pPr>
        <w:rPr>
          <w:b/>
          <w:bCs/>
        </w:rPr>
      </w:pPr>
      <w:r w:rsidRPr="00E51CD4">
        <w:rPr>
          <w:b/>
          <w:bCs/>
        </w:rPr>
        <w:t>主な成長ドライバー</w:t>
      </w:r>
    </w:p>
    <w:p w14:paraId="75AA3AF6" w14:textId="77777777" w:rsidR="00E51CD4" w:rsidRPr="00E51CD4" w:rsidRDefault="00E51CD4" w:rsidP="00E51CD4">
      <w:pPr>
        <w:numPr>
          <w:ilvl w:val="0"/>
          <w:numId w:val="1"/>
        </w:numPr>
      </w:pPr>
      <w:r w:rsidRPr="00E51CD4">
        <w:rPr>
          <w:b/>
          <w:bCs/>
        </w:rPr>
        <w:t>強い教育需要電卓は、北米全土の学校、カレッジ、大学で依然として不可欠なツールであり、標準化されたテストと STEM に焦点を当てたカリキュラムが需要を強化しています。</w:t>
      </w:r>
    </w:p>
    <w:p w14:paraId="1EA4EBFA" w14:textId="77777777" w:rsidR="00E51CD4" w:rsidRPr="00E51CD4" w:rsidRDefault="00E51CD4" w:rsidP="00E51CD4">
      <w:pPr>
        <w:numPr>
          <w:ilvl w:val="0"/>
          <w:numId w:val="1"/>
        </w:numPr>
      </w:pPr>
      <w:r w:rsidRPr="00E51CD4">
        <w:rPr>
          <w:b/>
          <w:bCs/>
        </w:rPr>
        <w:t>ビジネスおよび業務用金融機関、会計、エンジニアリング企業は、精度を計算計算機や金融計算機に依存し続けており、持続的な市場採用を推進しています。</w:t>
      </w:r>
    </w:p>
    <w:p w14:paraId="37FD8BFF" w14:textId="77777777" w:rsidR="00E51CD4" w:rsidRPr="00E51CD4" w:rsidRDefault="00E51CD4" w:rsidP="00E51CD4">
      <w:pPr>
        <w:numPr>
          <w:ilvl w:val="0"/>
          <w:numId w:val="1"/>
        </w:numPr>
      </w:pPr>
      <w:r w:rsidRPr="00E51CD4">
        <w:rPr>
          <w:b/>
          <w:bCs/>
        </w:rPr>
        <w:t>デジタルプラットフォームとの統合プログラマビリティ、グラフ作成、クラウド ストレージなどの機能を備えたスマートで接続された電卓の台頭により、テクノロジーに傾倒したユーザーを魅了しています。</w:t>
      </w:r>
    </w:p>
    <w:p w14:paraId="01AA878D" w14:textId="77777777" w:rsidR="00E51CD4" w:rsidRPr="00E51CD4" w:rsidRDefault="00E51CD4" w:rsidP="00E51CD4">
      <w:pPr>
        <w:rPr>
          <w:b/>
          <w:bCs/>
        </w:rPr>
      </w:pPr>
      <w:r w:rsidRPr="00E51CD4">
        <w:rPr>
          <w:b/>
          <w:bCs/>
        </w:rPr>
        <w:t>北米の電卓市場セグメント分析</w:t>
      </w:r>
    </w:p>
    <w:p w14:paraId="66DD5BD7" w14:textId="77777777" w:rsidR="00E51CD4" w:rsidRDefault="00E51CD4" w:rsidP="00E51CD4">
      <w:r w:rsidRPr="00E51CD4">
        <w:t xml:space="preserve">北米の電卓市場は、タイプ、電源、流通チャネル、アプリケーション、国によって区分される。 </w:t>
      </w:r>
    </w:p>
    <w:p w14:paraId="4DCE7FD4" w14:textId="77777777" w:rsidR="00E51CD4" w:rsidRDefault="00E51CD4" w:rsidP="00E51CD4">
      <w:pPr>
        <w:pStyle w:val="ListParagraph"/>
        <w:numPr>
          <w:ilvl w:val="0"/>
          <w:numId w:val="4"/>
        </w:numPr>
      </w:pPr>
      <w:r w:rsidRPr="00E51CD4">
        <w:t xml:space="preserve">タイプに基づいて、市場は基本電卓、関数電卓、印刷電卓、その他に分類されます。 </w:t>
      </w:r>
    </w:p>
    <w:p w14:paraId="66E6B2C7" w14:textId="77777777" w:rsidR="00E51CD4" w:rsidRDefault="00E51CD4" w:rsidP="00E51CD4">
      <w:pPr>
        <w:pStyle w:val="ListParagraph"/>
        <w:numPr>
          <w:ilvl w:val="0"/>
          <w:numId w:val="4"/>
        </w:numPr>
      </w:pPr>
      <w:r w:rsidRPr="00E51CD4">
        <w:t xml:space="preserve">電源に基づいて、市場は電気、バッテリー、太陽光に分類されます。 </w:t>
      </w:r>
    </w:p>
    <w:p w14:paraId="3E57B1F7" w14:textId="77777777" w:rsidR="00E51CD4" w:rsidRDefault="00E51CD4" w:rsidP="00E51CD4">
      <w:pPr>
        <w:pStyle w:val="ListParagraph"/>
        <w:numPr>
          <w:ilvl w:val="0"/>
          <w:numId w:val="4"/>
        </w:numPr>
      </w:pPr>
      <w:r w:rsidRPr="00E51CD4">
        <w:t xml:space="preserve">流通チャネルに基づいて、市場はハイパーマーケット、文房具、専門店、オンライン小売、その他に分類されます。 </w:t>
      </w:r>
    </w:p>
    <w:p w14:paraId="23136F06" w14:textId="77777777" w:rsidR="00E51CD4" w:rsidRDefault="00E51CD4" w:rsidP="00E51CD4">
      <w:pPr>
        <w:pStyle w:val="ListParagraph"/>
        <w:numPr>
          <w:ilvl w:val="0"/>
          <w:numId w:val="4"/>
        </w:numPr>
      </w:pPr>
      <w:r w:rsidRPr="00E51CD4">
        <w:t xml:space="preserve">アプリケーションに基づいて、市場はエンジニアリング部門、金融部門、教育部門、IT部門、その他の部門に分類されます。 </w:t>
      </w:r>
    </w:p>
    <w:p w14:paraId="6B71F1B4" w14:textId="45532DDE" w:rsidR="00E51CD4" w:rsidRPr="00E51CD4" w:rsidRDefault="00E51CD4" w:rsidP="00E51CD4">
      <w:pPr>
        <w:pStyle w:val="ListParagraph"/>
        <w:numPr>
          <w:ilvl w:val="0"/>
          <w:numId w:val="4"/>
        </w:numPr>
      </w:pPr>
      <w:r w:rsidRPr="00E51CD4">
        <w:lastRenderedPageBreak/>
        <w:t>国別では、市場は米国とカナダに区分される。</w:t>
      </w:r>
    </w:p>
    <w:p w14:paraId="14F075A1" w14:textId="5A78E83A" w:rsidR="00E51CD4" w:rsidRPr="00E51CD4" w:rsidRDefault="00E51CD4" w:rsidP="00E51CD4">
      <w:pPr>
        <w:rPr>
          <w:b/>
          <w:bCs/>
        </w:rPr>
      </w:pPr>
      <w:r w:rsidRPr="00E51CD4">
        <w:rPr>
          <w:b/>
          <w:bCs/>
        </w:rPr>
        <w:t>地域の洞察</w:t>
      </w:r>
    </w:p>
    <w:p w14:paraId="67DD599C" w14:textId="77777777" w:rsidR="00E51CD4" w:rsidRPr="00E51CD4" w:rsidRDefault="00E51CD4" w:rsidP="00E51CD4">
      <w:pPr>
        <w:numPr>
          <w:ilvl w:val="0"/>
          <w:numId w:val="2"/>
        </w:numPr>
      </w:pPr>
      <w:r w:rsidRPr="00E51CD4">
        <w:rPr>
          <w:b/>
          <w:bCs/>
        </w:rPr>
        <w:t>米国</w:t>
      </w:r>
      <w:r w:rsidRPr="00E51CD4">
        <w:t xml:space="preserve"> は、大規模な教育部門と大きな企業需要に支えられ、市場をリードしています。</w:t>
      </w:r>
    </w:p>
    <w:p w14:paraId="31C39163" w14:textId="77777777" w:rsidR="00E51CD4" w:rsidRPr="00E51CD4" w:rsidRDefault="00E51CD4" w:rsidP="00E51CD4">
      <w:pPr>
        <w:numPr>
          <w:ilvl w:val="0"/>
          <w:numId w:val="2"/>
        </w:numPr>
      </w:pPr>
      <w:r w:rsidRPr="00E51CD4">
        <w:rPr>
          <w:b/>
          <w:bCs/>
        </w:rPr>
        <w:t>カナダ</w:t>
      </w:r>
      <w:r w:rsidRPr="00E51CD4">
        <w:t>では、特に専門分野やエンジニアリング分野で着実な採用が見られます。</w:t>
      </w:r>
    </w:p>
    <w:p w14:paraId="36AD4308" w14:textId="77777777" w:rsidR="00E51CD4" w:rsidRPr="00E51CD4" w:rsidRDefault="00E51CD4" w:rsidP="00E51CD4">
      <w:pPr>
        <w:numPr>
          <w:ilvl w:val="0"/>
          <w:numId w:val="2"/>
        </w:numPr>
      </w:pPr>
      <w:r w:rsidRPr="00E51CD4">
        <w:rPr>
          <w:b/>
          <w:bCs/>
        </w:rPr>
        <w:t>メキシコ</w:t>
      </w:r>
      <w:r w:rsidRPr="00E51CD4">
        <w:t xml:space="preserve"> では、教育改革とデジタルリテラシーへの取り組みが拡大するにつれて需要が高まっています。</w:t>
      </w:r>
    </w:p>
    <w:p w14:paraId="17BAE6F2" w14:textId="77777777" w:rsidR="00E51CD4" w:rsidRPr="00E51CD4" w:rsidRDefault="00E51CD4" w:rsidP="00E51CD4">
      <w:pPr>
        <w:rPr>
          <w:b/>
          <w:bCs/>
        </w:rPr>
      </w:pPr>
      <w:r w:rsidRPr="00E51CD4">
        <w:rPr>
          <w:b/>
          <w:bCs/>
        </w:rPr>
        <w:t>北米電卓市場のトッププレーヤー</w:t>
      </w:r>
    </w:p>
    <w:p w14:paraId="783A963F" w14:textId="77777777" w:rsidR="00E51CD4" w:rsidRPr="00E51CD4" w:rsidRDefault="00E51CD4" w:rsidP="00E51CD4">
      <w:pPr>
        <w:pStyle w:val="ListParagraph"/>
        <w:numPr>
          <w:ilvl w:val="0"/>
          <w:numId w:val="5"/>
        </w:numPr>
      </w:pPr>
      <w:r w:rsidRPr="00E51CD4">
        <w:t>シャープエレクトロニクス株式会社(米国)</w:t>
      </w:r>
    </w:p>
    <w:p w14:paraId="7AA2E1E6" w14:textId="77777777" w:rsidR="00E51CD4" w:rsidRPr="00E51CD4" w:rsidRDefault="00E51CD4" w:rsidP="00E51CD4">
      <w:pPr>
        <w:pStyle w:val="ListParagraph"/>
        <w:numPr>
          <w:ilvl w:val="0"/>
          <w:numId w:val="5"/>
        </w:numPr>
      </w:pPr>
      <w:r w:rsidRPr="00E51CD4">
        <w:t xml:space="preserve">HP Inc.(米国) </w:t>
      </w:r>
    </w:p>
    <w:p w14:paraId="55C12DDD" w14:textId="77777777" w:rsidR="00E51CD4" w:rsidRPr="00E51CD4" w:rsidRDefault="00E51CD4" w:rsidP="00E51CD4">
      <w:pPr>
        <w:pStyle w:val="ListParagraph"/>
        <w:numPr>
          <w:ilvl w:val="0"/>
          <w:numId w:val="5"/>
        </w:numPr>
      </w:pPr>
      <w:r w:rsidRPr="00E51CD4">
        <w:t xml:space="preserve">Texas Instruments Inc.(米国) </w:t>
      </w:r>
    </w:p>
    <w:p w14:paraId="6F09541E" w14:textId="77777777" w:rsidR="00E51CD4" w:rsidRPr="00E51CD4" w:rsidRDefault="00E51CD4" w:rsidP="00E51CD4">
      <w:pPr>
        <w:pStyle w:val="ListParagraph"/>
        <w:numPr>
          <w:ilvl w:val="0"/>
          <w:numId w:val="5"/>
        </w:numPr>
      </w:pPr>
      <w:r w:rsidRPr="00E51CD4">
        <w:t xml:space="preserve">キヤノン株式会社(日本) </w:t>
      </w:r>
    </w:p>
    <w:p w14:paraId="53ED051F" w14:textId="77777777" w:rsidR="00E51CD4" w:rsidRPr="00E51CD4" w:rsidRDefault="00E51CD4" w:rsidP="00E51CD4">
      <w:pPr>
        <w:pStyle w:val="ListParagraph"/>
        <w:numPr>
          <w:ilvl w:val="0"/>
          <w:numId w:val="5"/>
        </w:numPr>
      </w:pPr>
      <w:r w:rsidRPr="00E51CD4">
        <w:t xml:space="preserve">カシオコンピュータ株式会社(日本) </w:t>
      </w:r>
    </w:p>
    <w:p w14:paraId="46EA6AC6" w14:textId="77777777" w:rsidR="00E51CD4" w:rsidRPr="00E51CD4" w:rsidRDefault="00E51CD4" w:rsidP="00E51CD4">
      <w:pPr>
        <w:pStyle w:val="ListParagraph"/>
        <w:numPr>
          <w:ilvl w:val="0"/>
          <w:numId w:val="5"/>
        </w:numPr>
      </w:pPr>
      <w:r w:rsidRPr="00E51CD4">
        <w:t xml:space="preserve">オーロラ・コーポレーション・オブ・アメリカ(米国) </w:t>
      </w:r>
    </w:p>
    <w:p w14:paraId="2A0F1914" w14:textId="77777777" w:rsidR="00E51CD4" w:rsidRPr="00E51CD4" w:rsidRDefault="00E51CD4" w:rsidP="00E51CD4">
      <w:pPr>
        <w:pStyle w:val="ListParagraph"/>
        <w:numPr>
          <w:ilvl w:val="0"/>
          <w:numId w:val="5"/>
        </w:numPr>
      </w:pPr>
      <w:r w:rsidRPr="00E51CD4">
        <w:t xml:space="preserve">Monroe Systems for Business, Inc. (米国) </w:t>
      </w:r>
    </w:p>
    <w:p w14:paraId="2041E45E" w14:textId="77777777" w:rsidR="00E51CD4" w:rsidRPr="00E51CD4" w:rsidRDefault="00E51CD4" w:rsidP="00E51CD4">
      <w:pPr>
        <w:pStyle w:val="ListParagraph"/>
        <w:numPr>
          <w:ilvl w:val="0"/>
          <w:numId w:val="5"/>
        </w:numPr>
      </w:pPr>
      <w:proofErr w:type="spellStart"/>
      <w:r w:rsidRPr="00E51CD4">
        <w:t>Datexx</w:t>
      </w:r>
      <w:proofErr w:type="spellEnd"/>
      <w:r w:rsidRPr="00E51CD4">
        <w:t xml:space="preserve"> (</w:t>
      </w:r>
      <w:proofErr w:type="spellStart"/>
      <w:r w:rsidRPr="00E51CD4">
        <w:t>米国</w:t>
      </w:r>
      <w:proofErr w:type="spellEnd"/>
      <w:r w:rsidRPr="00E51CD4">
        <w:t xml:space="preserve">) </w:t>
      </w:r>
    </w:p>
    <w:p w14:paraId="1AE2A44C" w14:textId="77777777" w:rsidR="00E51CD4" w:rsidRPr="00E51CD4" w:rsidRDefault="00E51CD4" w:rsidP="00E51CD4">
      <w:pPr>
        <w:pStyle w:val="ListParagraph"/>
        <w:numPr>
          <w:ilvl w:val="0"/>
          <w:numId w:val="5"/>
        </w:numPr>
      </w:pPr>
      <w:r w:rsidRPr="00E51CD4">
        <w:t xml:space="preserve">Royal Consumer Information Products, Inc. (米国) </w:t>
      </w:r>
    </w:p>
    <w:p w14:paraId="03C5A94A" w14:textId="77777777" w:rsidR="00E51CD4" w:rsidRPr="00E51CD4" w:rsidRDefault="00E51CD4" w:rsidP="00E51CD4">
      <w:pPr>
        <w:pStyle w:val="ListParagraph"/>
        <w:numPr>
          <w:ilvl w:val="0"/>
          <w:numId w:val="5"/>
        </w:numPr>
      </w:pPr>
      <w:proofErr w:type="spellStart"/>
      <w:r w:rsidRPr="00E51CD4">
        <w:t>Innovera</w:t>
      </w:r>
      <w:proofErr w:type="spellEnd"/>
      <w:r w:rsidRPr="00E51CD4">
        <w:t xml:space="preserve"> Inc.(</w:t>
      </w:r>
      <w:proofErr w:type="spellStart"/>
      <w:r w:rsidRPr="00E51CD4">
        <w:t>米国</w:t>
      </w:r>
      <w:proofErr w:type="spellEnd"/>
      <w:r w:rsidRPr="00E51CD4">
        <w:t xml:space="preserve">) </w:t>
      </w:r>
    </w:p>
    <w:p w14:paraId="50FC3FC4" w14:textId="77777777" w:rsidR="00E51CD4" w:rsidRPr="00E51CD4" w:rsidRDefault="00E51CD4" w:rsidP="00E51CD4">
      <w:pPr>
        <w:pStyle w:val="ListParagraph"/>
        <w:numPr>
          <w:ilvl w:val="0"/>
          <w:numId w:val="5"/>
        </w:numPr>
      </w:pPr>
      <w:proofErr w:type="spellStart"/>
      <w:r w:rsidRPr="00E51CD4">
        <w:t>Compucessory</w:t>
      </w:r>
      <w:proofErr w:type="spellEnd"/>
      <w:r w:rsidRPr="00E51CD4">
        <w:t xml:space="preserve"> (</w:t>
      </w:r>
      <w:proofErr w:type="spellStart"/>
      <w:r w:rsidRPr="00E51CD4">
        <w:t>米国</w:t>
      </w:r>
      <w:proofErr w:type="spellEnd"/>
      <w:r w:rsidRPr="00E51CD4">
        <w:t xml:space="preserve">) </w:t>
      </w:r>
    </w:p>
    <w:p w14:paraId="782731C5" w14:textId="77777777" w:rsidR="00E51CD4" w:rsidRPr="00E51CD4" w:rsidRDefault="00E51CD4" w:rsidP="00E51CD4">
      <w:pPr>
        <w:pStyle w:val="ListParagraph"/>
        <w:numPr>
          <w:ilvl w:val="0"/>
          <w:numId w:val="5"/>
        </w:numPr>
      </w:pPr>
      <w:proofErr w:type="spellStart"/>
      <w:r w:rsidRPr="00E51CD4">
        <w:t>Innopress</w:t>
      </w:r>
      <w:proofErr w:type="spellEnd"/>
      <w:r w:rsidRPr="00E51CD4">
        <w:t>(</w:t>
      </w:r>
      <w:proofErr w:type="spellStart"/>
      <w:r w:rsidRPr="00E51CD4">
        <w:t>米国</w:t>
      </w:r>
      <w:proofErr w:type="spellEnd"/>
      <w:r w:rsidRPr="00E51CD4">
        <w:t xml:space="preserve">) </w:t>
      </w:r>
    </w:p>
    <w:p w14:paraId="12AD3E2B" w14:textId="77777777" w:rsidR="00E51CD4" w:rsidRPr="00E51CD4" w:rsidRDefault="00E51CD4" w:rsidP="00E51CD4">
      <w:pPr>
        <w:pStyle w:val="ListParagraph"/>
        <w:numPr>
          <w:ilvl w:val="0"/>
          <w:numId w:val="5"/>
        </w:numPr>
      </w:pPr>
      <w:proofErr w:type="spellStart"/>
      <w:r w:rsidRPr="00E51CD4">
        <w:t>TruLam</w:t>
      </w:r>
      <w:proofErr w:type="spellEnd"/>
      <w:r w:rsidRPr="00E51CD4">
        <w:t xml:space="preserve"> (</w:t>
      </w:r>
      <w:proofErr w:type="spellStart"/>
      <w:r w:rsidRPr="00E51CD4">
        <w:t>米国</w:t>
      </w:r>
      <w:proofErr w:type="spellEnd"/>
      <w:r w:rsidRPr="00E51CD4">
        <w:t xml:space="preserve">) </w:t>
      </w:r>
    </w:p>
    <w:p w14:paraId="1B36A4CE" w14:textId="77777777" w:rsidR="00E51CD4" w:rsidRPr="00E51CD4" w:rsidRDefault="00E51CD4" w:rsidP="00E51CD4">
      <w:pPr>
        <w:pStyle w:val="ListParagraph"/>
        <w:numPr>
          <w:ilvl w:val="0"/>
          <w:numId w:val="5"/>
        </w:numPr>
      </w:pPr>
      <w:r w:rsidRPr="00E51CD4">
        <w:t xml:space="preserve">スイングライン(米国) </w:t>
      </w:r>
    </w:p>
    <w:p w14:paraId="1A5D3A9F" w14:textId="77777777" w:rsidR="00E51CD4" w:rsidRPr="00E51CD4" w:rsidRDefault="00E51CD4" w:rsidP="00E51CD4">
      <w:pPr>
        <w:pStyle w:val="ListParagraph"/>
        <w:numPr>
          <w:ilvl w:val="0"/>
          <w:numId w:val="5"/>
        </w:numPr>
      </w:pPr>
      <w:r w:rsidRPr="00E51CD4">
        <w:t xml:space="preserve">ビクター(米国) </w:t>
      </w:r>
    </w:p>
    <w:p w14:paraId="059E99B1" w14:textId="77777777" w:rsidR="00E51CD4" w:rsidRPr="00E51CD4" w:rsidRDefault="00E51CD4" w:rsidP="00E51CD4">
      <w:pPr>
        <w:pStyle w:val="ListParagraph"/>
        <w:numPr>
          <w:ilvl w:val="0"/>
          <w:numId w:val="5"/>
        </w:numPr>
      </w:pPr>
      <w:r w:rsidRPr="00E51CD4">
        <w:t xml:space="preserve">Dataproducts (米国) </w:t>
      </w:r>
    </w:p>
    <w:p w14:paraId="2982E960" w14:textId="307ACA0F" w:rsidR="00E51CD4" w:rsidRPr="00E51CD4" w:rsidRDefault="00E51CD4" w:rsidP="00E51CD4">
      <w:pPr>
        <w:pStyle w:val="ListParagraph"/>
        <w:numPr>
          <w:ilvl w:val="0"/>
          <w:numId w:val="5"/>
        </w:numPr>
      </w:pPr>
      <w:r w:rsidRPr="00E51CD4">
        <w:t>ビクトリノックス(スイス)</w:t>
      </w:r>
    </w:p>
    <w:p w14:paraId="2FF148FF" w14:textId="3B96F6B2" w:rsidR="00E51CD4" w:rsidRPr="00E51CD4" w:rsidRDefault="00E51CD4" w:rsidP="00E51CD4">
      <w:pPr>
        <w:rPr>
          <w:b/>
          <w:bCs/>
        </w:rPr>
      </w:pPr>
      <w:r w:rsidRPr="00E51CD4">
        <w:rPr>
          <w:b/>
          <w:bCs/>
        </w:rPr>
        <w:t>市場動向</w:t>
      </w:r>
    </w:p>
    <w:p w14:paraId="568A363A" w14:textId="77777777" w:rsidR="00E51CD4" w:rsidRPr="00E51CD4" w:rsidRDefault="00E51CD4" w:rsidP="00E51CD4">
      <w:pPr>
        <w:numPr>
          <w:ilvl w:val="0"/>
          <w:numId w:val="3"/>
        </w:numPr>
      </w:pPr>
      <w:r w:rsidRPr="00E51CD4">
        <w:rPr>
          <w:b/>
          <w:bCs/>
        </w:rPr>
        <w:t>グラフ作成と関数電卓への移行STEM 教育への重点が高まるにつれ、特に工学と数学のコースにおいて、高度な電卓の需要が高まっています。</w:t>
      </w:r>
    </w:p>
    <w:p w14:paraId="0F4F35E0" w14:textId="77777777" w:rsidR="00E51CD4" w:rsidRPr="00E51CD4" w:rsidRDefault="00E51CD4" w:rsidP="00E51CD4">
      <w:pPr>
        <w:numPr>
          <w:ilvl w:val="0"/>
          <w:numId w:val="3"/>
        </w:numPr>
      </w:pPr>
      <w:r w:rsidRPr="00E51CD4">
        <w:rPr>
          <w:b/>
          <w:bCs/>
        </w:rPr>
        <w:t>スマートな機能を備えたハイブリッドモデルデジタル学習プラットフォームとモバイル接続と統合された電卓の導入により、新たな成長の機会が生まれています。</w:t>
      </w:r>
    </w:p>
    <w:p w14:paraId="6CD28DF1" w14:textId="77777777" w:rsidR="00E51CD4" w:rsidRPr="00E51CD4" w:rsidRDefault="00E51CD4" w:rsidP="00E51CD4">
      <w:pPr>
        <w:numPr>
          <w:ilvl w:val="0"/>
          <w:numId w:val="3"/>
        </w:numPr>
      </w:pPr>
      <w:r w:rsidRPr="00E51CD4">
        <w:rPr>
          <w:b/>
          <w:bCs/>
        </w:rPr>
        <w:lastRenderedPageBreak/>
        <w:t>持続可能性への取り組み太陽光発電でエネルギー効率の高い電卓は、バッテリー駆動のデバイスに代わる環境に優しい代替品として注目を集めています。</w:t>
      </w:r>
    </w:p>
    <w:p w14:paraId="649C3FE6" w14:textId="77777777" w:rsidR="00E51CD4" w:rsidRPr="00E51CD4" w:rsidRDefault="00E51CD4" w:rsidP="00E51CD4">
      <w:pPr>
        <w:rPr>
          <w:b/>
          <w:bCs/>
        </w:rPr>
      </w:pPr>
      <w:r w:rsidRPr="00E51CD4">
        <w:rPr>
          <w:b/>
          <w:bCs/>
        </w:rPr>
        <w:t>結論</w:t>
      </w:r>
    </w:p>
    <w:p w14:paraId="260C22B5" w14:textId="269E586E" w:rsidR="004D40C5" w:rsidRDefault="00E51CD4">
      <w:r w:rsidRPr="00E51CD4">
        <w:t>北米の電卓市場は、教育要件、企業使用、デジタル統合の革新によって着実に拡大し続けています。STEM 学習と持続可能性のトレンドの重要性が高まる中、市場は長期的に力強い成長を維持すると予想されます。</w:t>
      </w:r>
    </w:p>
    <w:p w14:paraId="3C8CA43B" w14:textId="2A39CD69" w:rsidR="00E51CD4" w:rsidRDefault="00E51CD4">
      <w:r>
        <w:t xml:space="preserve">レポート全文を見る: </w:t>
      </w:r>
      <w:hyperlink r:id="rId6" w:history="1">
        <w:r w:rsidRPr="00BE326A">
          <w:rPr>
            <w:rStyle w:val="Hyperlink"/>
          </w:rPr>
          <w:t>https://www.skyquestt.com/report/north-american-calculators-market</w:t>
        </w:r>
      </w:hyperlink>
      <w:r>
        <w:t xml:space="preserve"> </w:t>
      </w:r>
    </w:p>
    <w:sectPr w:rsidR="00E51C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2F8"/>
    <w:multiLevelType w:val="hybridMultilevel"/>
    <w:tmpl w:val="BF662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4F7D"/>
    <w:multiLevelType w:val="multilevel"/>
    <w:tmpl w:val="5CA6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DB481E"/>
    <w:multiLevelType w:val="multilevel"/>
    <w:tmpl w:val="B232B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8300FA"/>
    <w:multiLevelType w:val="hybridMultilevel"/>
    <w:tmpl w:val="34C00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4B3E4D"/>
    <w:multiLevelType w:val="multilevel"/>
    <w:tmpl w:val="AF8C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7165205">
    <w:abstractNumId w:val="2"/>
  </w:num>
  <w:num w:numId="2" w16cid:durableId="1163663651">
    <w:abstractNumId w:val="4"/>
  </w:num>
  <w:num w:numId="3" w16cid:durableId="391316911">
    <w:abstractNumId w:val="1"/>
  </w:num>
  <w:num w:numId="4" w16cid:durableId="1710102999">
    <w:abstractNumId w:val="0"/>
  </w:num>
  <w:num w:numId="5" w16cid:durableId="784152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CD4"/>
    <w:rsid w:val="00066E89"/>
    <w:rsid w:val="001025AD"/>
    <w:rsid w:val="001D01DB"/>
    <w:rsid w:val="00274CDA"/>
    <w:rsid w:val="003447FB"/>
    <w:rsid w:val="004D40C5"/>
    <w:rsid w:val="00585580"/>
    <w:rsid w:val="00B354D8"/>
    <w:rsid w:val="00BB68BD"/>
    <w:rsid w:val="00C15B33"/>
    <w:rsid w:val="00E51CD4"/>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7B524"/>
  <w15:chartTrackingRefBased/>
  <w15:docId w15:val="{CCADD9A4-3E6F-4E91-8F2A-7C7A288D3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C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1C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1C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1C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1C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1C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C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C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C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C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1C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1C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1C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1C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1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CD4"/>
    <w:rPr>
      <w:rFonts w:eastAsiaTheme="majorEastAsia" w:cstheme="majorBidi"/>
      <w:color w:val="272727" w:themeColor="text1" w:themeTint="D8"/>
    </w:rPr>
  </w:style>
  <w:style w:type="paragraph" w:styleId="Title">
    <w:name w:val="Title"/>
    <w:basedOn w:val="Normal"/>
    <w:next w:val="Normal"/>
    <w:link w:val="TitleChar"/>
    <w:uiPriority w:val="10"/>
    <w:qFormat/>
    <w:rsid w:val="00E51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CD4"/>
    <w:pPr>
      <w:spacing w:before="160"/>
      <w:jc w:val="center"/>
    </w:pPr>
    <w:rPr>
      <w:i/>
      <w:iCs/>
      <w:color w:val="404040" w:themeColor="text1" w:themeTint="BF"/>
    </w:rPr>
  </w:style>
  <w:style w:type="character" w:customStyle="1" w:styleId="QuoteChar">
    <w:name w:val="Quote Char"/>
    <w:basedOn w:val="DefaultParagraphFont"/>
    <w:link w:val="Quote"/>
    <w:uiPriority w:val="29"/>
    <w:rsid w:val="00E51CD4"/>
    <w:rPr>
      <w:i/>
      <w:iCs/>
      <w:color w:val="404040" w:themeColor="text1" w:themeTint="BF"/>
    </w:rPr>
  </w:style>
  <w:style w:type="paragraph" w:styleId="ListParagraph">
    <w:name w:val="List Paragraph"/>
    <w:basedOn w:val="Normal"/>
    <w:uiPriority w:val="34"/>
    <w:qFormat/>
    <w:rsid w:val="00E51CD4"/>
    <w:pPr>
      <w:ind w:left="720"/>
      <w:contextualSpacing/>
    </w:pPr>
  </w:style>
  <w:style w:type="character" w:styleId="IntenseEmphasis">
    <w:name w:val="Intense Emphasis"/>
    <w:basedOn w:val="DefaultParagraphFont"/>
    <w:uiPriority w:val="21"/>
    <w:qFormat/>
    <w:rsid w:val="00E51CD4"/>
    <w:rPr>
      <w:i/>
      <w:iCs/>
      <w:color w:val="2F5496" w:themeColor="accent1" w:themeShade="BF"/>
    </w:rPr>
  </w:style>
  <w:style w:type="paragraph" w:styleId="IntenseQuote">
    <w:name w:val="Intense Quote"/>
    <w:basedOn w:val="Normal"/>
    <w:next w:val="Normal"/>
    <w:link w:val="IntenseQuoteChar"/>
    <w:uiPriority w:val="30"/>
    <w:qFormat/>
    <w:rsid w:val="00E51C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1CD4"/>
    <w:rPr>
      <w:i/>
      <w:iCs/>
      <w:color w:val="2F5496" w:themeColor="accent1" w:themeShade="BF"/>
    </w:rPr>
  </w:style>
  <w:style w:type="character" w:styleId="IntenseReference">
    <w:name w:val="Intense Reference"/>
    <w:basedOn w:val="DefaultParagraphFont"/>
    <w:uiPriority w:val="32"/>
    <w:qFormat/>
    <w:rsid w:val="00E51CD4"/>
    <w:rPr>
      <w:b/>
      <w:bCs/>
      <w:smallCaps/>
      <w:color w:val="2F5496" w:themeColor="accent1" w:themeShade="BF"/>
      <w:spacing w:val="5"/>
    </w:rPr>
  </w:style>
  <w:style w:type="character" w:styleId="Hyperlink">
    <w:name w:val="Hyperlink"/>
    <w:basedOn w:val="DefaultParagraphFont"/>
    <w:uiPriority w:val="99"/>
    <w:unhideWhenUsed/>
    <w:rsid w:val="00E51CD4"/>
    <w:rPr>
      <w:color w:val="0563C1" w:themeColor="hyperlink"/>
      <w:u w:val="single"/>
    </w:rPr>
  </w:style>
  <w:style w:type="character" w:styleId="UnresolvedMention">
    <w:name w:val="Unresolved Mention"/>
    <w:basedOn w:val="DefaultParagraphFont"/>
    <w:uiPriority w:val="99"/>
    <w:semiHidden/>
    <w:unhideWhenUsed/>
    <w:rsid w:val="00E51CD4"/>
    <w:rPr>
      <w:color w:val="605E5C"/>
      <w:shd w:val="clear" w:color="auto" w:fill="E1DFDD"/>
    </w:rPr>
  </w:style>
  <w:style w:type="character" w:styleId="PlaceholderText">
    <w:name w:val="Placeholder Text"/>
    <w:basedOn w:val="DefaultParagraphFont"/>
    <w:uiPriority w:val="99"/>
    <w:semiHidden/>
    <w:rsid w:val="00066E8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north-american-calculators-market" TargetMode="External"/><Relationship Id="rId5" Type="http://schemas.openxmlformats.org/officeDocument/2006/relationships/hyperlink" Target="https://www.skyquestt.com/sample-request/north-american-calculators-mark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300</Words>
  <Characters>1711</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3</cp:revision>
  <dcterms:created xsi:type="dcterms:W3CDTF">2025-08-19T04:30:00Z</dcterms:created>
  <dcterms:modified xsi:type="dcterms:W3CDTF">2025-08-19T04:36:00Z</dcterms:modified>
</cp:coreProperties>
</file>