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71D09" w14:textId="48740192" w:rsidR="00F549A3" w:rsidRPr="00A66FE6" w:rsidRDefault="00F549A3" w:rsidP="00F549A3">
      <w:pPr>
        <w:rPr>
          <w:b/>
          <w:bCs/>
        </w:rPr>
      </w:pPr>
      <w:proofErr w:type="spellStart"/>
      <w:r w:rsidRPr="00A66FE6">
        <w:rPr>
          <w:b/>
          <w:bCs/>
        </w:rPr>
        <w:t>ナノ</w:t>
      </w:r>
      <w:proofErr w:type="gramStart"/>
      <w:r w:rsidRPr="00A66FE6">
        <w:rPr>
          <w:b/>
          <w:bCs/>
        </w:rPr>
        <w:t>肥料市場:精密</w:t>
      </w:r>
      <w:proofErr w:type="gramEnd"/>
      <w:r w:rsidRPr="00A66FE6">
        <w:rPr>
          <w:b/>
          <w:bCs/>
        </w:rPr>
        <w:t>な栄養素供給による農業の変革</w:t>
      </w:r>
      <w:proofErr w:type="spellEnd"/>
      <w:r w:rsidRPr="00A66FE6">
        <w:rPr>
          <w:b/>
          <w:bCs/>
        </w:rPr>
        <w:t xml:space="preserve"> - 2025年</w:t>
      </w:r>
    </w:p>
    <w:p w14:paraId="75396DE2" w14:textId="77777777" w:rsidR="00F549A3" w:rsidRDefault="00F549A3" w:rsidP="00F549A3">
      <w:pPr>
        <w:rPr>
          <w:b/>
          <w:bCs/>
        </w:rPr>
      </w:pPr>
      <w:r w:rsidRPr="00F549A3">
        <w:t xml:space="preserve">ナノ肥料は、栄養素の利用効率を向上させる能力があるため、栄養管理において利点があります。また、ナノ肥料は非生物的ストレスに対する耐性を高めるために利用される可能性があり、ナノ肥料を微生物と組み合わせると、これらのナノバイオ肥料はさらなる利点をもたらします。農業産業は世界で最も急速に拡大している産業の 1 つであり、スムーズかつ効率的に運営されています。 </w:t>
      </w:r>
    </w:p>
    <w:p w14:paraId="11B42448" w14:textId="6613C67F" w:rsidR="00F549A3" w:rsidRPr="00A66FE6" w:rsidRDefault="00F549A3" w:rsidP="00F549A3">
      <w:pPr>
        <w:rPr>
          <w:b/>
          <w:bCs/>
        </w:rPr>
      </w:pPr>
      <w:r w:rsidRPr="00F549A3">
        <w:rPr>
          <w:b/>
          <w:bCs/>
        </w:rPr>
        <w:t>ナノ肥料市場規模は、2023年に36億米ドルと評価され、2024年の41億米ドルから2032年までに103億2,000万米ドルに成長し、予測期間(2025年から2032年)中に12.09%のCAGRで成長する見込みです。</w:t>
      </w:r>
    </w:p>
    <w:p w14:paraId="46E09022" w14:textId="77777777" w:rsidR="00F549A3" w:rsidRPr="00A66FE6" w:rsidRDefault="00F549A3" w:rsidP="00F549A3">
      <w:r w:rsidRPr="00A66FE6">
        <w:rPr>
          <w:b/>
          <w:bCs/>
        </w:rPr>
        <w:t>サンプルコピーをリクエストする</w:t>
      </w:r>
      <w:r w:rsidRPr="00A66FE6">
        <w:t xml:space="preserve"> – </w:t>
      </w:r>
      <w:hyperlink r:id="rId5" w:history="1">
        <w:r w:rsidRPr="00D30CAF">
          <w:rPr>
            <w:rStyle w:val="Hyperlink"/>
          </w:rPr>
          <w:t>https://www.skyquestt.com/sample-request/nano-fertilizers-market</w:t>
        </w:r>
      </w:hyperlink>
      <w:r>
        <w:t xml:space="preserve"> </w:t>
      </w:r>
    </w:p>
    <w:p w14:paraId="3006481C" w14:textId="77777777" w:rsidR="00F549A3" w:rsidRPr="00A66FE6" w:rsidRDefault="00F549A3" w:rsidP="00F549A3">
      <w:pPr>
        <w:rPr>
          <w:b/>
          <w:bCs/>
        </w:rPr>
      </w:pPr>
      <w:r w:rsidRPr="00A66FE6">
        <w:rPr>
          <w:b/>
          <w:bCs/>
        </w:rPr>
        <w:t>主な成長ドライバー</w:t>
      </w:r>
    </w:p>
    <w:p w14:paraId="7C093941" w14:textId="77777777" w:rsidR="00F549A3" w:rsidRPr="00A66FE6" w:rsidRDefault="00F549A3" w:rsidP="00F549A3">
      <w:r w:rsidRPr="00A66FE6">
        <w:rPr>
          <w:b/>
          <w:bCs/>
        </w:rPr>
        <w:t>優れた栄養素利用効率ナノ肥料は制御された方法で栄養素を放出し、植物への吸収を高め、浸出や揮発による損失を軽減します。</w:t>
      </w:r>
    </w:p>
    <w:p w14:paraId="08E65FB6" w14:textId="77777777" w:rsidR="00F549A3" w:rsidRPr="00A66FE6" w:rsidRDefault="00F549A3" w:rsidP="00F549A3">
      <w:r w:rsidRPr="00A66FE6">
        <w:rPr>
          <w:b/>
          <w:bCs/>
        </w:rPr>
        <w:t>環境の持続可能性これらの肥料は化学物質の流出と土壌の劣化を最小限に抑え、世界的な持続可能性への懸念の中で従来の肥料に代わる実行可能な代替品となっています。</w:t>
      </w:r>
    </w:p>
    <w:p w14:paraId="08F28E94" w14:textId="77777777" w:rsidR="00F549A3" w:rsidRPr="00A66FE6" w:rsidRDefault="00F549A3" w:rsidP="00F549A3">
      <w:r w:rsidRPr="00A66FE6">
        <w:rPr>
          <w:b/>
          <w:bCs/>
        </w:rPr>
        <w:t>政府の支援と政策推進多くの政府は、</w:t>
      </w:r>
      <w:r w:rsidRPr="00A66FE6">
        <w:t>農業収量と食料安全保障を改善するために、補助金や研究資金を通じてナノベースの農業投入物を奨励しています。</w:t>
      </w:r>
    </w:p>
    <w:p w14:paraId="5C5485DA" w14:textId="77777777" w:rsidR="00F549A3" w:rsidRPr="00A66FE6" w:rsidRDefault="00F549A3" w:rsidP="00F549A3">
      <w:r w:rsidRPr="00A66FE6">
        <w:rPr>
          <w:b/>
          <w:bCs/>
        </w:rPr>
        <w:t>高品質の作物に対する需要の高まり栄養価が高く、有機的で残留物のない農産物に対する消費者の需要の高まりにより、農家はナノ肥料などの革新的な投入ソリューションの採用を余儀なくされています。</w:t>
      </w:r>
    </w:p>
    <w:p w14:paraId="319FDDFA" w14:textId="77777777" w:rsidR="00F549A3" w:rsidRPr="00A66FE6" w:rsidRDefault="00F549A3" w:rsidP="00F549A3">
      <w:pPr>
        <w:rPr>
          <w:b/>
          <w:bCs/>
        </w:rPr>
      </w:pPr>
      <w:r w:rsidRPr="00A66FE6">
        <w:rPr>
          <w:b/>
          <w:bCs/>
        </w:rPr>
        <w:t>市場セグメンテーション</w:t>
      </w:r>
    </w:p>
    <w:p w14:paraId="5D139B3B" w14:textId="77777777" w:rsidR="00F549A3" w:rsidRDefault="00F549A3" w:rsidP="00F549A3">
      <w:r w:rsidRPr="00A66FE6">
        <w:t xml:space="preserve">世界のナノ肥料市場は、原材料、施用方法、作物の種類、地域によって区分される。 </w:t>
      </w:r>
    </w:p>
    <w:p w14:paraId="5437175A" w14:textId="77777777" w:rsidR="00F549A3" w:rsidRDefault="00F549A3" w:rsidP="00F549A3">
      <w:pPr>
        <w:pStyle w:val="ListParagraph"/>
        <w:numPr>
          <w:ilvl w:val="0"/>
          <w:numId w:val="2"/>
        </w:numPr>
      </w:pPr>
      <w:r w:rsidRPr="00A66FE6">
        <w:t xml:space="preserve">原材料に基づいて、市場は窒素、銀、炭素、亜鉛、その他に分類されます。 </w:t>
      </w:r>
    </w:p>
    <w:p w14:paraId="6087A744" w14:textId="77777777" w:rsidR="00F549A3" w:rsidRDefault="00F549A3" w:rsidP="00F549A3">
      <w:pPr>
        <w:pStyle w:val="ListParagraph"/>
        <w:numPr>
          <w:ilvl w:val="0"/>
          <w:numId w:val="2"/>
        </w:numPr>
      </w:pPr>
      <w:r w:rsidRPr="00A66FE6">
        <w:t xml:space="preserve">散布方法に基づいて、市場は葉面散布と土壌処理に分類されます。 </w:t>
      </w:r>
    </w:p>
    <w:p w14:paraId="4F28D829" w14:textId="77777777" w:rsidR="00F549A3" w:rsidRDefault="00F549A3" w:rsidP="00F549A3">
      <w:pPr>
        <w:pStyle w:val="ListParagraph"/>
        <w:numPr>
          <w:ilvl w:val="0"/>
          <w:numId w:val="2"/>
        </w:numPr>
      </w:pPr>
      <w:r w:rsidRPr="00A66FE6">
        <w:t xml:space="preserve">作物の種類に基づいて、市場は穀物と穀物、油糧種子と豆類、果物と野菜、その他の作物タイプに分類されます。 </w:t>
      </w:r>
    </w:p>
    <w:p w14:paraId="6CF96B6B" w14:textId="77777777" w:rsidR="00F549A3" w:rsidRPr="00A66FE6" w:rsidRDefault="00F549A3" w:rsidP="00F549A3">
      <w:pPr>
        <w:pStyle w:val="ListParagraph"/>
        <w:numPr>
          <w:ilvl w:val="0"/>
          <w:numId w:val="2"/>
        </w:numPr>
      </w:pPr>
      <w:r w:rsidRPr="00A66FE6">
        <w:t>地域に基づいて、市場は北米、ヨーロッパ、アジア太平洋、ラテンアメリカ、中東とアフリカに分割されます。</w:t>
      </w:r>
    </w:p>
    <w:p w14:paraId="379ACF7F" w14:textId="77777777" w:rsidR="00F549A3" w:rsidRPr="00A66FE6" w:rsidRDefault="00F549A3" w:rsidP="00F549A3">
      <w:pPr>
        <w:rPr>
          <w:b/>
          <w:bCs/>
        </w:rPr>
      </w:pPr>
      <w:r w:rsidRPr="00A66FE6">
        <w:rPr>
          <w:b/>
          <w:bCs/>
        </w:rPr>
        <w:lastRenderedPageBreak/>
        <w:t>地域の洞察</w:t>
      </w:r>
    </w:p>
    <w:p w14:paraId="49171D11" w14:textId="77777777" w:rsidR="00F549A3" w:rsidRPr="00A66FE6" w:rsidRDefault="00F549A3" w:rsidP="00F549A3">
      <w:r w:rsidRPr="00A66FE6">
        <w:rPr>
          <w:b/>
          <w:bCs/>
        </w:rPr>
        <w:t>アジア太平洋地域</w:t>
      </w:r>
      <w:r w:rsidRPr="00A66FE6">
        <w:t xml:space="preserve"> – 人口の多さ、広範な農業、政府主導のナノ農業ミッションによる最大の市場</w:t>
      </w:r>
      <w:r w:rsidRPr="00A66FE6">
        <w:br/>
      </w:r>
      <w:r w:rsidRPr="00A66FE6">
        <w:rPr>
          <w:b/>
          <w:bCs/>
        </w:rPr>
        <w:t>北米</w:t>
      </w:r>
      <w:r w:rsidRPr="00A66FE6">
        <w:t xml:space="preserve"> – 技術的に進歩した農場と持続可能な農業慣行の採用の増加</w:t>
      </w:r>
      <w:r w:rsidRPr="00A66FE6">
        <w:br/>
      </w:r>
      <w:r w:rsidRPr="00A66FE6">
        <w:rPr>
          <w:b/>
          <w:bCs/>
        </w:rPr>
        <w:t>ヨーロッパ</w:t>
      </w:r>
      <w:r w:rsidRPr="00A66FE6">
        <w:t xml:space="preserve"> – 二酸化炭素排出量の削減と環境に優しい農業投入物のサポートに重点を置く</w:t>
      </w:r>
    </w:p>
    <w:p w14:paraId="0C7EBF3E" w14:textId="77777777" w:rsidR="00F549A3" w:rsidRPr="00F549A3" w:rsidRDefault="00F549A3" w:rsidP="00F549A3">
      <w:pPr>
        <w:rPr>
          <w:b/>
          <w:bCs/>
        </w:rPr>
      </w:pPr>
      <w:r w:rsidRPr="00F549A3">
        <w:rPr>
          <w:b/>
          <w:bCs/>
        </w:rPr>
        <w:t>ナノ肥料市場のトッププレーヤー</w:t>
      </w:r>
    </w:p>
    <w:p w14:paraId="757B6CC3" w14:textId="77777777" w:rsidR="00F549A3" w:rsidRPr="00F549A3" w:rsidRDefault="00F549A3" w:rsidP="00F549A3">
      <w:pPr>
        <w:pStyle w:val="ListParagraph"/>
        <w:numPr>
          <w:ilvl w:val="0"/>
          <w:numId w:val="3"/>
        </w:numPr>
      </w:pPr>
      <w:proofErr w:type="spellStart"/>
      <w:r w:rsidRPr="00F549A3">
        <w:t>EuroChem</w:t>
      </w:r>
      <w:proofErr w:type="spellEnd"/>
      <w:r w:rsidRPr="00F549A3">
        <w:t xml:space="preserve"> Group AG (</w:t>
      </w:r>
      <w:proofErr w:type="spellStart"/>
      <w:r w:rsidRPr="00F549A3">
        <w:t>スイス</w:t>
      </w:r>
      <w:proofErr w:type="spellEnd"/>
      <w:r w:rsidRPr="00F549A3">
        <w:t>)</w:t>
      </w:r>
    </w:p>
    <w:p w14:paraId="1B085A5F" w14:textId="77777777" w:rsidR="00F549A3" w:rsidRPr="00F549A3" w:rsidRDefault="00F549A3" w:rsidP="00F549A3">
      <w:pPr>
        <w:pStyle w:val="ListParagraph"/>
        <w:numPr>
          <w:ilvl w:val="0"/>
          <w:numId w:val="3"/>
        </w:numPr>
      </w:pPr>
      <w:r w:rsidRPr="00F549A3">
        <w:t xml:space="preserve">Shan Maw Myae Co., Ltd.(ミャンマー) </w:t>
      </w:r>
    </w:p>
    <w:p w14:paraId="2A7FA6C9" w14:textId="77777777" w:rsidR="00F549A3" w:rsidRPr="00F549A3" w:rsidRDefault="00F549A3" w:rsidP="00F549A3">
      <w:pPr>
        <w:pStyle w:val="ListParagraph"/>
        <w:numPr>
          <w:ilvl w:val="0"/>
          <w:numId w:val="3"/>
        </w:numPr>
      </w:pPr>
      <w:proofErr w:type="spellStart"/>
      <w:r w:rsidRPr="00F549A3">
        <w:t>Indogulf</w:t>
      </w:r>
      <w:proofErr w:type="spellEnd"/>
      <w:r w:rsidRPr="00F549A3">
        <w:t xml:space="preserve"> </w:t>
      </w:r>
      <w:proofErr w:type="spellStart"/>
      <w:r w:rsidRPr="00F549A3">
        <w:t>BioAg</w:t>
      </w:r>
      <w:proofErr w:type="spellEnd"/>
      <w:r w:rsidRPr="00F549A3">
        <w:t xml:space="preserve"> LLC (</w:t>
      </w:r>
      <w:proofErr w:type="spellStart"/>
      <w:r w:rsidRPr="00F549A3">
        <w:t>アラブ首長国連邦</w:t>
      </w:r>
      <w:proofErr w:type="spellEnd"/>
      <w:r w:rsidRPr="00F549A3">
        <w:t xml:space="preserve">) </w:t>
      </w:r>
    </w:p>
    <w:p w14:paraId="7E2E304D" w14:textId="77777777" w:rsidR="00F549A3" w:rsidRPr="00F549A3" w:rsidRDefault="00F549A3" w:rsidP="00F549A3">
      <w:pPr>
        <w:pStyle w:val="ListParagraph"/>
        <w:numPr>
          <w:ilvl w:val="0"/>
          <w:numId w:val="3"/>
        </w:numPr>
      </w:pPr>
      <w:proofErr w:type="spellStart"/>
      <w:r w:rsidRPr="00F549A3">
        <w:t>Nanosys</w:t>
      </w:r>
      <w:proofErr w:type="spellEnd"/>
      <w:r w:rsidRPr="00F549A3">
        <w:t xml:space="preserve"> Inc.(</w:t>
      </w:r>
      <w:proofErr w:type="spellStart"/>
      <w:r w:rsidRPr="00F549A3">
        <w:t>米国</w:t>
      </w:r>
      <w:proofErr w:type="spellEnd"/>
      <w:r w:rsidRPr="00F549A3">
        <w:t xml:space="preserve">) </w:t>
      </w:r>
    </w:p>
    <w:p w14:paraId="4CFFFE85" w14:textId="77777777" w:rsidR="00F549A3" w:rsidRPr="00F549A3" w:rsidRDefault="00F549A3" w:rsidP="00F549A3">
      <w:pPr>
        <w:pStyle w:val="ListParagraph"/>
        <w:numPr>
          <w:ilvl w:val="0"/>
          <w:numId w:val="3"/>
        </w:numPr>
      </w:pPr>
      <w:proofErr w:type="spellStart"/>
      <w:r w:rsidRPr="00F549A3">
        <w:t>NanoScientifica</w:t>
      </w:r>
      <w:proofErr w:type="spellEnd"/>
      <w:r w:rsidRPr="00F549A3">
        <w:t xml:space="preserve"> Scandinavia AB (</w:t>
      </w:r>
      <w:proofErr w:type="spellStart"/>
      <w:r w:rsidRPr="00F549A3">
        <w:t>スウェーデン</w:t>
      </w:r>
      <w:proofErr w:type="spellEnd"/>
      <w:r w:rsidRPr="00F549A3">
        <w:t xml:space="preserve">) </w:t>
      </w:r>
    </w:p>
    <w:p w14:paraId="13D41A99" w14:textId="77777777" w:rsidR="00F549A3" w:rsidRPr="00F549A3" w:rsidRDefault="00F549A3" w:rsidP="00F549A3">
      <w:pPr>
        <w:pStyle w:val="ListParagraph"/>
        <w:numPr>
          <w:ilvl w:val="0"/>
          <w:numId w:val="3"/>
        </w:numPr>
      </w:pPr>
      <w:proofErr w:type="spellStart"/>
      <w:r w:rsidRPr="00F549A3">
        <w:t>Zuari</w:t>
      </w:r>
      <w:proofErr w:type="spellEnd"/>
      <w:r w:rsidRPr="00F549A3">
        <w:t xml:space="preserve"> </w:t>
      </w:r>
      <w:proofErr w:type="spellStart"/>
      <w:r w:rsidRPr="00F549A3">
        <w:t>Farmhub</w:t>
      </w:r>
      <w:proofErr w:type="spellEnd"/>
      <w:r w:rsidRPr="00F549A3">
        <w:t xml:space="preserve"> Ltd.(</w:t>
      </w:r>
      <w:proofErr w:type="spellStart"/>
      <w:r w:rsidRPr="00F549A3">
        <w:t>インド</w:t>
      </w:r>
      <w:proofErr w:type="spellEnd"/>
      <w:r w:rsidRPr="00F549A3">
        <w:t xml:space="preserve">) </w:t>
      </w:r>
    </w:p>
    <w:p w14:paraId="4B0D10BC" w14:textId="77777777" w:rsidR="00F549A3" w:rsidRPr="00F549A3" w:rsidRDefault="00F549A3" w:rsidP="00F549A3">
      <w:pPr>
        <w:pStyle w:val="ListParagraph"/>
        <w:numPr>
          <w:ilvl w:val="0"/>
          <w:numId w:val="3"/>
        </w:numPr>
      </w:pPr>
      <w:r w:rsidRPr="00F549A3">
        <w:t xml:space="preserve">CF Industries Holdings, Inc. (米国) </w:t>
      </w:r>
    </w:p>
    <w:p w14:paraId="4F47DC21" w14:textId="77777777" w:rsidR="00F549A3" w:rsidRPr="00F549A3" w:rsidRDefault="00F549A3" w:rsidP="00F549A3">
      <w:pPr>
        <w:pStyle w:val="ListParagraph"/>
        <w:numPr>
          <w:ilvl w:val="0"/>
          <w:numId w:val="3"/>
        </w:numPr>
      </w:pPr>
      <w:r w:rsidRPr="00F549A3">
        <w:t xml:space="preserve">トロピカルアグロ(インド) </w:t>
      </w:r>
    </w:p>
    <w:p w14:paraId="12D4C40B" w14:textId="77777777" w:rsidR="00F549A3" w:rsidRPr="00F549A3" w:rsidRDefault="00F549A3" w:rsidP="00F549A3">
      <w:pPr>
        <w:pStyle w:val="ListParagraph"/>
        <w:numPr>
          <w:ilvl w:val="0"/>
          <w:numId w:val="3"/>
        </w:numPr>
      </w:pPr>
      <w:proofErr w:type="spellStart"/>
      <w:r w:rsidRPr="00F549A3">
        <w:t>Chemat</w:t>
      </w:r>
      <w:proofErr w:type="spellEnd"/>
      <w:r w:rsidRPr="00F549A3">
        <w:t xml:space="preserve"> Technology Inc.(</w:t>
      </w:r>
      <w:proofErr w:type="spellStart"/>
      <w:r w:rsidRPr="00F549A3">
        <w:t>米国</w:t>
      </w:r>
      <w:proofErr w:type="spellEnd"/>
      <w:r w:rsidRPr="00F549A3">
        <w:t xml:space="preserve">) </w:t>
      </w:r>
    </w:p>
    <w:p w14:paraId="07719C9C" w14:textId="77777777" w:rsidR="00F549A3" w:rsidRPr="00F549A3" w:rsidRDefault="00F549A3" w:rsidP="00F549A3">
      <w:pPr>
        <w:pStyle w:val="ListParagraph"/>
        <w:numPr>
          <w:ilvl w:val="0"/>
          <w:numId w:val="3"/>
        </w:numPr>
      </w:pPr>
      <w:r w:rsidRPr="00F549A3">
        <w:t xml:space="preserve">JU Agri Sciences Pvt. Ltd.(インド) </w:t>
      </w:r>
    </w:p>
    <w:p w14:paraId="2C91D282" w14:textId="77777777" w:rsidR="00F549A3" w:rsidRPr="00F549A3" w:rsidRDefault="00F549A3" w:rsidP="00F549A3">
      <w:pPr>
        <w:pStyle w:val="ListParagraph"/>
        <w:numPr>
          <w:ilvl w:val="0"/>
          <w:numId w:val="3"/>
        </w:numPr>
      </w:pPr>
      <w:r w:rsidRPr="00F549A3">
        <w:t xml:space="preserve">ヤラ・インターナショナルASA(ノルウェー) </w:t>
      </w:r>
    </w:p>
    <w:p w14:paraId="714583CA" w14:textId="77777777" w:rsidR="00F549A3" w:rsidRPr="00F549A3" w:rsidRDefault="00F549A3" w:rsidP="00F549A3">
      <w:pPr>
        <w:pStyle w:val="ListParagraph"/>
        <w:numPr>
          <w:ilvl w:val="0"/>
          <w:numId w:val="3"/>
        </w:numPr>
      </w:pPr>
      <w:r w:rsidRPr="00F549A3">
        <w:t xml:space="preserve">BASF SE (ドイツ) </w:t>
      </w:r>
    </w:p>
    <w:p w14:paraId="12DDCFED" w14:textId="77777777" w:rsidR="00F549A3" w:rsidRPr="00F549A3" w:rsidRDefault="00F549A3" w:rsidP="00F549A3">
      <w:pPr>
        <w:pStyle w:val="ListParagraph"/>
        <w:numPr>
          <w:ilvl w:val="0"/>
          <w:numId w:val="3"/>
        </w:numPr>
      </w:pPr>
      <w:r w:rsidRPr="00F549A3">
        <w:t xml:space="preserve">シンジェンタAG(スイス) </w:t>
      </w:r>
    </w:p>
    <w:p w14:paraId="627E6E2B" w14:textId="77777777" w:rsidR="00F549A3" w:rsidRPr="00F549A3" w:rsidRDefault="00F549A3" w:rsidP="00F549A3">
      <w:pPr>
        <w:pStyle w:val="ListParagraph"/>
        <w:numPr>
          <w:ilvl w:val="0"/>
          <w:numId w:val="3"/>
        </w:numPr>
      </w:pPr>
      <w:r w:rsidRPr="00F549A3">
        <w:t xml:space="preserve">バイエルAG(ドイツ) </w:t>
      </w:r>
    </w:p>
    <w:p w14:paraId="275554DE" w14:textId="77777777" w:rsidR="00F549A3" w:rsidRPr="00F549A3" w:rsidRDefault="00F549A3" w:rsidP="00F549A3">
      <w:pPr>
        <w:pStyle w:val="ListParagraph"/>
        <w:numPr>
          <w:ilvl w:val="0"/>
          <w:numId w:val="3"/>
        </w:numPr>
      </w:pPr>
      <w:r w:rsidRPr="00F549A3">
        <w:t xml:space="preserve">モザイクカンパニー(アメリカ) </w:t>
      </w:r>
    </w:p>
    <w:p w14:paraId="0FA59C0C" w14:textId="77777777" w:rsidR="00F549A3" w:rsidRPr="00F549A3" w:rsidRDefault="00F549A3" w:rsidP="00F549A3">
      <w:pPr>
        <w:pStyle w:val="ListParagraph"/>
        <w:numPr>
          <w:ilvl w:val="0"/>
          <w:numId w:val="3"/>
        </w:numPr>
      </w:pPr>
      <w:proofErr w:type="spellStart"/>
      <w:r w:rsidRPr="00F549A3">
        <w:t>Nutrien</w:t>
      </w:r>
      <w:proofErr w:type="spellEnd"/>
      <w:r w:rsidRPr="00F549A3">
        <w:t xml:space="preserve"> Ltd.(</w:t>
      </w:r>
      <w:proofErr w:type="spellStart"/>
      <w:r w:rsidRPr="00F549A3">
        <w:t>カナダ</w:t>
      </w:r>
      <w:proofErr w:type="spellEnd"/>
      <w:r w:rsidRPr="00F549A3">
        <w:t xml:space="preserve">) </w:t>
      </w:r>
    </w:p>
    <w:p w14:paraId="5F603234" w14:textId="77777777" w:rsidR="00F549A3" w:rsidRPr="00F549A3" w:rsidRDefault="00F549A3" w:rsidP="00F549A3">
      <w:pPr>
        <w:pStyle w:val="ListParagraph"/>
        <w:numPr>
          <w:ilvl w:val="0"/>
          <w:numId w:val="3"/>
        </w:numPr>
      </w:pPr>
      <w:r w:rsidRPr="00F549A3">
        <w:t xml:space="preserve">ハイファグループ(イスラエル) </w:t>
      </w:r>
    </w:p>
    <w:p w14:paraId="2E1D3634" w14:textId="0872D76D" w:rsidR="00F549A3" w:rsidRPr="00F549A3" w:rsidRDefault="00F549A3" w:rsidP="00F549A3">
      <w:pPr>
        <w:pStyle w:val="ListParagraph"/>
        <w:numPr>
          <w:ilvl w:val="0"/>
          <w:numId w:val="3"/>
        </w:numPr>
      </w:pPr>
      <w:r w:rsidRPr="00F549A3">
        <w:t>ICL Group Ltd.(イスラエル)</w:t>
      </w:r>
    </w:p>
    <w:p w14:paraId="16C2FE87" w14:textId="1FB2EC3A" w:rsidR="00F549A3" w:rsidRPr="00A66FE6" w:rsidRDefault="00F549A3" w:rsidP="00F549A3">
      <w:pPr>
        <w:rPr>
          <w:b/>
          <w:bCs/>
        </w:rPr>
      </w:pPr>
      <w:r w:rsidRPr="00A66FE6">
        <w:rPr>
          <w:b/>
          <w:bCs/>
        </w:rPr>
        <w:t>新たなトレンド</w:t>
      </w:r>
    </w:p>
    <w:p w14:paraId="51AB435B" w14:textId="77777777" w:rsidR="00F549A3" w:rsidRPr="00A66FE6" w:rsidRDefault="00F549A3" w:rsidP="00F549A3">
      <w:pPr>
        <w:numPr>
          <w:ilvl w:val="0"/>
          <w:numId w:val="1"/>
        </w:numPr>
      </w:pPr>
      <w:r w:rsidRPr="00A66FE6">
        <w:t>ナノテクノロジーとスマート農具の統合</w:t>
      </w:r>
    </w:p>
    <w:p w14:paraId="3243CA62" w14:textId="77777777" w:rsidR="00F549A3" w:rsidRPr="00A66FE6" w:rsidRDefault="00F549A3" w:rsidP="00F549A3">
      <w:pPr>
        <w:numPr>
          <w:ilvl w:val="0"/>
          <w:numId w:val="1"/>
        </w:numPr>
      </w:pPr>
      <w:r w:rsidRPr="00A66FE6">
        <w:t>生分解性ナノキャリアの開発</w:t>
      </w:r>
    </w:p>
    <w:p w14:paraId="6DB7E0A6" w14:textId="77777777" w:rsidR="00F549A3" w:rsidRPr="00A66FE6" w:rsidRDefault="00F549A3" w:rsidP="00F549A3">
      <w:pPr>
        <w:numPr>
          <w:ilvl w:val="0"/>
          <w:numId w:val="1"/>
        </w:numPr>
      </w:pPr>
      <w:r w:rsidRPr="00A66FE6">
        <w:t>ナノ対応バイオ肥料の台頭</w:t>
      </w:r>
    </w:p>
    <w:p w14:paraId="42323259" w14:textId="77777777" w:rsidR="00F549A3" w:rsidRPr="00A66FE6" w:rsidRDefault="00F549A3" w:rsidP="00F549A3">
      <w:pPr>
        <w:numPr>
          <w:ilvl w:val="0"/>
          <w:numId w:val="1"/>
        </w:numPr>
      </w:pPr>
      <w:r w:rsidRPr="00A66FE6">
        <w:t>特定の作物向けのナノキレート栄養素の継続的な研究開発</w:t>
      </w:r>
    </w:p>
    <w:p w14:paraId="1AC2457E" w14:textId="77777777" w:rsidR="00F549A3" w:rsidRDefault="00F549A3" w:rsidP="00F549A3">
      <w:pPr>
        <w:numPr>
          <w:ilvl w:val="0"/>
          <w:numId w:val="1"/>
        </w:numPr>
      </w:pPr>
      <w:r w:rsidRPr="00A66FE6">
        <w:t>ターゲットを絞ったデリバリーのための精密なアプリケーション技術</w:t>
      </w:r>
    </w:p>
    <w:p w14:paraId="29F0BF5A" w14:textId="77777777" w:rsidR="00F549A3" w:rsidRPr="00A66FE6" w:rsidRDefault="00F549A3" w:rsidP="00F549A3">
      <w:r w:rsidRPr="00A66FE6">
        <w:rPr>
          <w:b/>
          <w:bCs/>
        </w:rPr>
        <w:lastRenderedPageBreak/>
        <w:t>レポート全文を見る</w:t>
      </w:r>
      <w:r w:rsidRPr="00A66FE6">
        <w:t xml:space="preserve"> – </w:t>
      </w:r>
      <w:hyperlink r:id="rId6" w:history="1">
        <w:r w:rsidRPr="00D30CAF">
          <w:rPr>
            <w:rStyle w:val="Hyperlink"/>
          </w:rPr>
          <w:t>https://www.skyquestt.com/report/nano-fertilizers-market</w:t>
        </w:r>
      </w:hyperlink>
      <w:r>
        <w:t xml:space="preserve"> </w:t>
      </w:r>
    </w:p>
    <w:p w14:paraId="13E9AB9A" w14:textId="77777777" w:rsidR="00F549A3" w:rsidRDefault="00F549A3" w:rsidP="00F549A3"/>
    <w:p w14:paraId="0668E680" w14:textId="470C9319" w:rsidR="004D40C5" w:rsidRDefault="004D40C5"/>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E769E"/>
    <w:multiLevelType w:val="multilevel"/>
    <w:tmpl w:val="9790D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C60754"/>
    <w:multiLevelType w:val="hybridMultilevel"/>
    <w:tmpl w:val="A0D6C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6F6C10"/>
    <w:multiLevelType w:val="hybridMultilevel"/>
    <w:tmpl w:val="C65AF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2069482">
    <w:abstractNumId w:val="0"/>
  </w:num>
  <w:num w:numId="2" w16cid:durableId="529221823">
    <w:abstractNumId w:val="2"/>
  </w:num>
  <w:num w:numId="3" w16cid:durableId="1273395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9A3"/>
    <w:rsid w:val="001D01DB"/>
    <w:rsid w:val="00274CDA"/>
    <w:rsid w:val="0049403A"/>
    <w:rsid w:val="004D40C5"/>
    <w:rsid w:val="00B354D8"/>
    <w:rsid w:val="00BB68BD"/>
    <w:rsid w:val="00C15B33"/>
    <w:rsid w:val="00CB1D9B"/>
    <w:rsid w:val="00F549A3"/>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95E55"/>
  <w15:chartTrackingRefBased/>
  <w15:docId w15:val="{4C8CB859-06F4-4AF0-B162-77AAA1FB6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9A3"/>
  </w:style>
  <w:style w:type="paragraph" w:styleId="Heading1">
    <w:name w:val="heading 1"/>
    <w:basedOn w:val="Normal"/>
    <w:next w:val="Normal"/>
    <w:link w:val="Heading1Char"/>
    <w:uiPriority w:val="9"/>
    <w:qFormat/>
    <w:rsid w:val="00F549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49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49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49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49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49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9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9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9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9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49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49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49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49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49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9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9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9A3"/>
    <w:rPr>
      <w:rFonts w:eastAsiaTheme="majorEastAsia" w:cstheme="majorBidi"/>
      <w:color w:val="272727" w:themeColor="text1" w:themeTint="D8"/>
    </w:rPr>
  </w:style>
  <w:style w:type="paragraph" w:styleId="Title">
    <w:name w:val="Title"/>
    <w:basedOn w:val="Normal"/>
    <w:next w:val="Normal"/>
    <w:link w:val="TitleChar"/>
    <w:uiPriority w:val="10"/>
    <w:qFormat/>
    <w:rsid w:val="00F549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9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9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9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9A3"/>
    <w:pPr>
      <w:spacing w:before="160"/>
      <w:jc w:val="center"/>
    </w:pPr>
    <w:rPr>
      <w:i/>
      <w:iCs/>
      <w:color w:val="404040" w:themeColor="text1" w:themeTint="BF"/>
    </w:rPr>
  </w:style>
  <w:style w:type="character" w:customStyle="1" w:styleId="QuoteChar">
    <w:name w:val="Quote Char"/>
    <w:basedOn w:val="DefaultParagraphFont"/>
    <w:link w:val="Quote"/>
    <w:uiPriority w:val="29"/>
    <w:rsid w:val="00F549A3"/>
    <w:rPr>
      <w:i/>
      <w:iCs/>
      <w:color w:val="404040" w:themeColor="text1" w:themeTint="BF"/>
    </w:rPr>
  </w:style>
  <w:style w:type="paragraph" w:styleId="ListParagraph">
    <w:name w:val="List Paragraph"/>
    <w:basedOn w:val="Normal"/>
    <w:uiPriority w:val="34"/>
    <w:qFormat/>
    <w:rsid w:val="00F549A3"/>
    <w:pPr>
      <w:ind w:left="720"/>
      <w:contextualSpacing/>
    </w:pPr>
  </w:style>
  <w:style w:type="character" w:styleId="IntenseEmphasis">
    <w:name w:val="Intense Emphasis"/>
    <w:basedOn w:val="DefaultParagraphFont"/>
    <w:uiPriority w:val="21"/>
    <w:qFormat/>
    <w:rsid w:val="00F549A3"/>
    <w:rPr>
      <w:i/>
      <w:iCs/>
      <w:color w:val="2F5496" w:themeColor="accent1" w:themeShade="BF"/>
    </w:rPr>
  </w:style>
  <w:style w:type="paragraph" w:styleId="IntenseQuote">
    <w:name w:val="Intense Quote"/>
    <w:basedOn w:val="Normal"/>
    <w:next w:val="Normal"/>
    <w:link w:val="IntenseQuoteChar"/>
    <w:uiPriority w:val="30"/>
    <w:qFormat/>
    <w:rsid w:val="00F549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49A3"/>
    <w:rPr>
      <w:i/>
      <w:iCs/>
      <w:color w:val="2F5496" w:themeColor="accent1" w:themeShade="BF"/>
    </w:rPr>
  </w:style>
  <w:style w:type="character" w:styleId="IntenseReference">
    <w:name w:val="Intense Reference"/>
    <w:basedOn w:val="DefaultParagraphFont"/>
    <w:uiPriority w:val="32"/>
    <w:qFormat/>
    <w:rsid w:val="00F549A3"/>
    <w:rPr>
      <w:b/>
      <w:bCs/>
      <w:smallCaps/>
      <w:color w:val="2F5496" w:themeColor="accent1" w:themeShade="BF"/>
      <w:spacing w:val="5"/>
    </w:rPr>
  </w:style>
  <w:style w:type="character" w:styleId="Hyperlink">
    <w:name w:val="Hyperlink"/>
    <w:basedOn w:val="DefaultParagraphFont"/>
    <w:uiPriority w:val="99"/>
    <w:unhideWhenUsed/>
    <w:rsid w:val="00F549A3"/>
    <w:rPr>
      <w:color w:val="0563C1" w:themeColor="hyperlink"/>
      <w:u w:val="single"/>
    </w:rPr>
  </w:style>
  <w:style w:type="character" w:styleId="PlaceholderText">
    <w:name w:val="Placeholder Text"/>
    <w:basedOn w:val="DefaultParagraphFont"/>
    <w:uiPriority w:val="99"/>
    <w:semiHidden/>
    <w:rsid w:val="0049403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nano-fertilizers-market" TargetMode="External"/><Relationship Id="rId5" Type="http://schemas.openxmlformats.org/officeDocument/2006/relationships/hyperlink" Target="https://www.skyquestt.com/sample-request/nano-fertilizers-mark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275</Words>
  <Characters>1569</Characters>
  <Application>Microsoft Office Word</Application>
  <DocSecurity>0</DocSecurity>
  <Lines>13</Lines>
  <Paragraphs>3</Paragraphs>
  <ScaleCrop>false</ScaleCrop>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2025-08-20T06:19:00Z</dcterms:created>
  <dcterms:modified xsi:type="dcterms:W3CDTF">2025-08-20T06:21:00Z</dcterms:modified>
</cp:coreProperties>
</file>