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38F62" w14:textId="7A4AE17C" w:rsidR="00427844" w:rsidRPr="00427844" w:rsidRDefault="00427844" w:rsidP="008D6A5E">
      <w:pPr>
        <w:rPr>
          <w:b/>
          <w:bCs/>
        </w:rPr>
      </w:pPr>
      <w:r w:rsidRPr="00427844">
        <w:rPr>
          <w:b/>
          <w:bCs/>
        </w:rPr>
        <w:t>規制業務アウトソーシング市場は2032年までに136億7000万ドルに達すると予測 | SkyQuest Technology</w:t>
      </w:r>
    </w:p>
    <w:p w14:paraId="79AEF4A2" w14:textId="25ACA9CA" w:rsidR="00427844" w:rsidRPr="00427844" w:rsidRDefault="00427844" w:rsidP="00427844">
      <w:r w:rsidRPr="00427844">
        <w:t>規制業務アウトソーシング市場は、医薬品、バイオテクノロジー、医療機器、食品・飲料などの業界にとって不可欠なものであり、これらの業界では、法律や規制基準への準拠が極めて重要です。規制業務アウトソーシングには、組織が地方、国内、国際規制に準拠できるよう支援するサードパーティ サービスが含まれます。これらのサービスには、規制戦略の開発、申請準備、製品登録、市販後調査などが含まれます。</w:t>
      </w:r>
    </w:p>
    <w:p w14:paraId="47EBE522" w14:textId="77777777" w:rsidR="00427844" w:rsidRPr="00427844" w:rsidRDefault="00427844" w:rsidP="00427844">
      <w:r w:rsidRPr="00427844">
        <w:t>この記事では、規制業務アウトソーシング市場、その規模、シェア、成長予測、および 2032 年までの将来を形作る主要な傾向を分析します。</w:t>
      </w:r>
    </w:p>
    <w:p w14:paraId="3FC233FA" w14:textId="724E3953" w:rsidR="00427844" w:rsidRPr="00427844" w:rsidRDefault="00427844" w:rsidP="00427844">
      <w:r w:rsidRPr="00427844">
        <w:rPr>
          <w:b/>
          <w:bCs/>
        </w:rPr>
        <w:t>規制業務アウトソーシング市場の概要</w:t>
      </w:r>
    </w:p>
    <w:p w14:paraId="2D58335C" w14:textId="1EDAFC82" w:rsidR="00427844" w:rsidRPr="00427844" w:rsidRDefault="00427844" w:rsidP="00427844">
      <w:r w:rsidRPr="00427844">
        <w:t>規制業務アウトソーシング市場規模は、2024年の72億米ドルから2032年には136.7億米ドルに拡大し、予測期間（2025～2032年）中に8.34%のCAGRで成長する見込みです。</w:t>
      </w:r>
    </w:p>
    <w:p w14:paraId="1142BA97" w14:textId="02B09158" w:rsidR="00CB63BF" w:rsidRDefault="00CB63BF" w:rsidP="00427844">
      <w:pPr>
        <w:rPr>
          <w:b/>
          <w:bCs/>
        </w:rPr>
      </w:pPr>
      <w:r w:rsidRPr="00CB63BF">
        <w:rPr>
          <w:b/>
          <w:bCs/>
        </w:rPr>
        <w:t>レポートのサンプルをリクエストする -</w:t>
      </w:r>
      <w:r w:rsidRPr="00CB63BF">
        <w:t xml:space="preserve"> </w:t>
      </w:r>
      <w:hyperlink r:id="rId5" w:history="1">
        <w:r w:rsidRPr="00A8129E">
          <w:rPr>
            <w:rStyle w:val="Hyperlink"/>
          </w:rPr>
          <w:t>https://www.skyquestt.com/sample-request/regulatory-affairs-outsourcing-market</w:t>
        </w:r>
      </w:hyperlink>
      <w:r>
        <w:t xml:space="preserve"> </w:t>
      </w:r>
    </w:p>
    <w:p w14:paraId="2BB7107D" w14:textId="60C56F11" w:rsidR="00427844" w:rsidRPr="00427844" w:rsidRDefault="00427844" w:rsidP="00427844">
      <w:r w:rsidRPr="00427844">
        <w:rPr>
          <w:b/>
          <w:bCs/>
        </w:rPr>
        <w:t>規制業務アウトソーシング市場セグメント分析</w:t>
      </w:r>
    </w:p>
    <w:p w14:paraId="29004A80" w14:textId="77777777" w:rsidR="00427844" w:rsidRPr="00427844" w:rsidRDefault="00427844" w:rsidP="00427844">
      <w:pPr>
        <w:numPr>
          <w:ilvl w:val="0"/>
          <w:numId w:val="1"/>
        </w:numPr>
      </w:pPr>
      <w:r w:rsidRPr="00427844">
        <w:rPr>
          <w:b/>
          <w:bCs/>
        </w:rPr>
        <w:t>サービスタイプ別:</w:t>
      </w:r>
    </w:p>
    <w:p w14:paraId="0B36E818" w14:textId="77777777" w:rsidR="00427844" w:rsidRPr="00427844" w:rsidRDefault="00427844" w:rsidP="00427844">
      <w:pPr>
        <w:numPr>
          <w:ilvl w:val="1"/>
          <w:numId w:val="1"/>
        </w:numPr>
      </w:pPr>
      <w:r w:rsidRPr="00427844">
        <w:rPr>
          <w:b/>
          <w:bCs/>
        </w:rPr>
        <w:t>規制コンサルティング サービス</w:t>
      </w:r>
      <w:r w:rsidRPr="00427844">
        <w:t>: 製品の承認とコンプライアンスに関する戦略的アドバイスが含まれます。</w:t>
      </w:r>
    </w:p>
    <w:p w14:paraId="5472A128" w14:textId="77777777" w:rsidR="00427844" w:rsidRPr="00427844" w:rsidRDefault="00427844" w:rsidP="00427844">
      <w:pPr>
        <w:numPr>
          <w:ilvl w:val="1"/>
          <w:numId w:val="1"/>
        </w:numPr>
      </w:pPr>
      <w:r w:rsidRPr="00427844">
        <w:rPr>
          <w:b/>
          <w:bCs/>
        </w:rPr>
        <w:t>規制業務スタッフィング サービス</w:t>
      </w:r>
      <w:r w:rsidRPr="00427844">
        <w:t>: 規制業務のための臨時または常勤スタッフのアウトソーシング。</w:t>
      </w:r>
    </w:p>
    <w:p w14:paraId="4C9D5D76" w14:textId="77777777" w:rsidR="00427844" w:rsidRPr="00427844" w:rsidRDefault="00427844" w:rsidP="00427844">
      <w:pPr>
        <w:numPr>
          <w:ilvl w:val="1"/>
          <w:numId w:val="1"/>
        </w:numPr>
      </w:pPr>
      <w:r w:rsidRPr="00427844">
        <w:rPr>
          <w:b/>
          <w:bCs/>
        </w:rPr>
        <w:t>規制申請および登録サービス</w:t>
      </w:r>
      <w:r w:rsidRPr="00427844">
        <w:t>: 製品承認のための文書の準備と提出が含まれます。</w:t>
      </w:r>
    </w:p>
    <w:p w14:paraId="4C176137" w14:textId="77777777" w:rsidR="00427844" w:rsidRPr="00427844" w:rsidRDefault="00427844" w:rsidP="00427844">
      <w:pPr>
        <w:numPr>
          <w:ilvl w:val="1"/>
          <w:numId w:val="1"/>
        </w:numPr>
      </w:pPr>
      <w:r w:rsidRPr="00427844">
        <w:rPr>
          <w:b/>
          <w:bCs/>
        </w:rPr>
        <w:t>市場認可およびコンプライアンス サービス</w:t>
      </w:r>
      <w:r w:rsidRPr="00427844">
        <w:t>: 市場コンプライアンスを確保し、承認プロセスを管理します。</w:t>
      </w:r>
    </w:p>
    <w:p w14:paraId="37F963A8" w14:textId="77777777" w:rsidR="00427844" w:rsidRPr="00427844" w:rsidRDefault="00427844" w:rsidP="00427844">
      <w:pPr>
        <w:numPr>
          <w:ilvl w:val="0"/>
          <w:numId w:val="1"/>
        </w:numPr>
      </w:pPr>
      <w:r w:rsidRPr="00427844">
        <w:rPr>
          <w:b/>
          <w:bCs/>
        </w:rPr>
        <w:t>エンドユーザー別:</w:t>
      </w:r>
    </w:p>
    <w:p w14:paraId="7570F45A" w14:textId="77777777" w:rsidR="00427844" w:rsidRPr="00427844" w:rsidRDefault="00427844" w:rsidP="00427844">
      <w:pPr>
        <w:numPr>
          <w:ilvl w:val="1"/>
          <w:numId w:val="1"/>
        </w:numPr>
      </w:pPr>
      <w:r w:rsidRPr="00427844">
        <w:rPr>
          <w:b/>
          <w:bCs/>
        </w:rPr>
        <w:t>製薬会社およびバイオテクノロジー会社</w:t>
      </w:r>
      <w:r w:rsidRPr="00427844">
        <w:t>: 最大の消費者であり、臨床試験や新薬申請に対する規制サポートを必要とします。</w:t>
      </w:r>
    </w:p>
    <w:p w14:paraId="095B161D" w14:textId="77777777" w:rsidR="00427844" w:rsidRPr="00427844" w:rsidRDefault="00427844" w:rsidP="00427844">
      <w:pPr>
        <w:numPr>
          <w:ilvl w:val="1"/>
          <w:numId w:val="1"/>
        </w:numPr>
      </w:pPr>
      <w:r w:rsidRPr="00427844">
        <w:rPr>
          <w:b/>
          <w:bCs/>
        </w:rPr>
        <w:t>医療機器メーカー</w:t>
      </w:r>
      <w:r w:rsidRPr="00427844">
        <w:t>: 製品の承認、規制遵守、市場認可に重点を置いています。</w:t>
      </w:r>
    </w:p>
    <w:p w14:paraId="066BFBEE" w14:textId="77777777" w:rsidR="00427844" w:rsidRPr="00427844" w:rsidRDefault="00427844" w:rsidP="00427844">
      <w:pPr>
        <w:numPr>
          <w:ilvl w:val="1"/>
          <w:numId w:val="1"/>
        </w:numPr>
      </w:pPr>
      <w:r w:rsidRPr="00427844">
        <w:rPr>
          <w:b/>
          <w:bCs/>
        </w:rPr>
        <w:lastRenderedPageBreak/>
        <w:t>食品および飲料</w:t>
      </w:r>
      <w:r w:rsidRPr="00427844">
        <w:t>: 安全性とラベル表示に関連する規制遵守サービスの需要が高まっています。</w:t>
      </w:r>
    </w:p>
    <w:p w14:paraId="77AC7F12" w14:textId="77777777" w:rsidR="00427844" w:rsidRPr="00427844" w:rsidRDefault="00427844" w:rsidP="00427844">
      <w:pPr>
        <w:numPr>
          <w:ilvl w:val="1"/>
          <w:numId w:val="1"/>
        </w:numPr>
      </w:pPr>
      <w:r w:rsidRPr="00427844">
        <w:rPr>
          <w:b/>
          <w:bCs/>
        </w:rPr>
        <w:t>化粧品および消費財</w:t>
      </w:r>
      <w:r w:rsidRPr="00427844">
        <w:t>: 厳格な安全規制の対象となります。</w:t>
      </w:r>
    </w:p>
    <w:p w14:paraId="2F93DCC9" w14:textId="77777777" w:rsidR="00427844" w:rsidRPr="00427844" w:rsidRDefault="00427844" w:rsidP="00427844">
      <w:pPr>
        <w:numPr>
          <w:ilvl w:val="0"/>
          <w:numId w:val="1"/>
        </w:numPr>
      </w:pPr>
      <w:r w:rsidRPr="00427844">
        <w:rPr>
          <w:b/>
          <w:bCs/>
        </w:rPr>
        <w:t>地域別:</w:t>
      </w:r>
    </w:p>
    <w:p w14:paraId="5689DF9D" w14:textId="77777777" w:rsidR="00427844" w:rsidRPr="00427844" w:rsidRDefault="00427844" w:rsidP="00427844">
      <w:pPr>
        <w:numPr>
          <w:ilvl w:val="1"/>
          <w:numId w:val="1"/>
        </w:numPr>
      </w:pPr>
      <w:r w:rsidRPr="00427844">
        <w:rPr>
          <w:b/>
          <w:bCs/>
        </w:rPr>
        <w:t>北米</w:t>
      </w:r>
      <w:r w:rsidRPr="00427844">
        <w:t>: 強力な製薬、医療機器、バイオテクノロジー産業により市場を支配しています。</w:t>
      </w:r>
    </w:p>
    <w:p w14:paraId="025466A7" w14:textId="77777777" w:rsidR="00427844" w:rsidRPr="00427844" w:rsidRDefault="00427844" w:rsidP="00427844">
      <w:pPr>
        <w:numPr>
          <w:ilvl w:val="1"/>
          <w:numId w:val="1"/>
        </w:numPr>
      </w:pPr>
      <w:r w:rsidRPr="00427844">
        <w:rPr>
          <w:b/>
          <w:bCs/>
        </w:rPr>
        <w:t>欧州</w:t>
      </w:r>
      <w:r w:rsidRPr="00427844">
        <w:t>：医薬品および医療機器分野の複雑な規制により、規制アウトソーシングが拡大しています。</w:t>
      </w:r>
    </w:p>
    <w:p w14:paraId="7AF2B542" w14:textId="77777777" w:rsidR="00427844" w:rsidRPr="00427844" w:rsidRDefault="00427844" w:rsidP="00427844">
      <w:pPr>
        <w:numPr>
          <w:ilvl w:val="1"/>
          <w:numId w:val="1"/>
        </w:numPr>
      </w:pPr>
      <w:r w:rsidRPr="00427844">
        <w:rPr>
          <w:b/>
          <w:bCs/>
        </w:rPr>
        <w:t>アジア太平洋地域</w:t>
      </w:r>
      <w:r w:rsidRPr="00427844">
        <w:t>: ヘルスケア市場の拡大により、特に中国やインドなどの国で急速な成長が見られます。</w:t>
      </w:r>
    </w:p>
    <w:p w14:paraId="4C20A5B5" w14:textId="77777777" w:rsidR="00427844" w:rsidRPr="00427844" w:rsidRDefault="00427844" w:rsidP="00427844">
      <w:pPr>
        <w:numPr>
          <w:ilvl w:val="1"/>
          <w:numId w:val="1"/>
        </w:numPr>
      </w:pPr>
      <w:r w:rsidRPr="00427844">
        <w:rPr>
          <w:b/>
          <w:bCs/>
        </w:rPr>
        <w:t>ラテンアメリカ、中東、アフリカ</w:t>
      </w:r>
      <w:r w:rsidRPr="00427844">
        <w:t>: 医療インフラが拡大している新興地域。</w:t>
      </w:r>
    </w:p>
    <w:p w14:paraId="2C672A5A" w14:textId="029EE152" w:rsidR="00CB63BF" w:rsidRDefault="00CB63BF" w:rsidP="00427844">
      <w:pPr>
        <w:rPr>
          <w:b/>
          <w:bCs/>
        </w:rPr>
      </w:pPr>
      <w:r w:rsidRPr="00CB63BF">
        <w:rPr>
          <w:b/>
          <w:bCs/>
        </w:rPr>
        <w:t>要件に合わせてカスタマイズされたレポートを入手 -</w:t>
      </w:r>
      <w:r w:rsidRPr="00CB63BF">
        <w:t xml:space="preserve"> </w:t>
      </w:r>
      <w:hyperlink r:id="rId6" w:history="1">
        <w:r w:rsidRPr="00A8129E">
          <w:rPr>
            <w:rStyle w:val="Hyperlink"/>
          </w:rPr>
          <w:t>https://www.skyquestt.com/speak-with-analyst/regulatory-affairs-outsourcing-market</w:t>
        </w:r>
      </w:hyperlink>
      <w:r>
        <w:t xml:space="preserve"> </w:t>
      </w:r>
    </w:p>
    <w:p w14:paraId="43F44C1D" w14:textId="79472BBF" w:rsidR="00427844" w:rsidRPr="00427844" w:rsidRDefault="00427844" w:rsidP="00427844">
      <w:r w:rsidRPr="00427844">
        <w:rPr>
          <w:b/>
          <w:bCs/>
        </w:rPr>
        <w:t>規制業務アウトソーシング市場の主要プレーヤー</w:t>
      </w:r>
    </w:p>
    <w:p w14:paraId="0E18BE1E" w14:textId="77777777" w:rsidR="00427844" w:rsidRPr="00427844" w:rsidRDefault="00427844" w:rsidP="00427844">
      <w:r w:rsidRPr="00427844">
        <w:t>規制業務アウトソーシング市場の著名な企業は次のとおりです。</w:t>
      </w:r>
    </w:p>
    <w:p w14:paraId="6642469C" w14:textId="77777777" w:rsidR="00427844" w:rsidRPr="00427844" w:rsidRDefault="00427844" w:rsidP="00427844">
      <w:pPr>
        <w:numPr>
          <w:ilvl w:val="0"/>
          <w:numId w:val="4"/>
        </w:numPr>
      </w:pPr>
      <w:r w:rsidRPr="00427844">
        <w:rPr>
          <w:b/>
          <w:bCs/>
        </w:rPr>
        <w:t>Covance Inc. ( Labcorp Drug Development) について</w:t>
      </w:r>
    </w:p>
    <w:p w14:paraId="179BB3FA" w14:textId="77777777" w:rsidR="00427844" w:rsidRPr="00427844" w:rsidRDefault="00427844" w:rsidP="00427844">
      <w:pPr>
        <w:numPr>
          <w:ilvl w:val="0"/>
          <w:numId w:val="4"/>
        </w:numPr>
      </w:pPr>
      <w:r w:rsidRPr="00427844">
        <w:rPr>
          <w:b/>
          <w:bCs/>
        </w:rPr>
        <w:t>パレクセルインターナショナルコーポレーション</w:t>
      </w:r>
    </w:p>
    <w:p w14:paraId="4B544779" w14:textId="77777777" w:rsidR="00427844" w:rsidRPr="00427844" w:rsidRDefault="00427844" w:rsidP="00427844">
      <w:pPr>
        <w:numPr>
          <w:ilvl w:val="0"/>
          <w:numId w:val="4"/>
        </w:numPr>
      </w:pPr>
      <w:r w:rsidRPr="00427844">
        <w:rPr>
          <w:b/>
          <w:bCs/>
        </w:rPr>
        <w:t>アイクビア</w:t>
      </w:r>
    </w:p>
    <w:p w14:paraId="7B46DBFF" w14:textId="77777777" w:rsidR="00427844" w:rsidRPr="00427844" w:rsidRDefault="00427844" w:rsidP="00427844">
      <w:pPr>
        <w:numPr>
          <w:ilvl w:val="0"/>
          <w:numId w:val="4"/>
        </w:numPr>
      </w:pPr>
      <w:r w:rsidRPr="00427844">
        <w:rPr>
          <w:b/>
          <w:bCs/>
        </w:rPr>
        <w:t>パレクセルインターナショナル</w:t>
      </w:r>
    </w:p>
    <w:p w14:paraId="6872CD2E" w14:textId="77777777" w:rsidR="00427844" w:rsidRPr="00427844" w:rsidRDefault="00427844" w:rsidP="00427844">
      <w:pPr>
        <w:numPr>
          <w:ilvl w:val="0"/>
          <w:numId w:val="4"/>
        </w:numPr>
      </w:pPr>
      <w:r w:rsidRPr="00427844">
        <w:rPr>
          <w:b/>
          <w:bCs/>
        </w:rPr>
        <w:t>無錫 アプテック</w:t>
      </w:r>
    </w:p>
    <w:p w14:paraId="17364E2E" w14:textId="77777777" w:rsidR="00427844" w:rsidRPr="00427844" w:rsidRDefault="00427844" w:rsidP="00427844">
      <w:pPr>
        <w:numPr>
          <w:ilvl w:val="0"/>
          <w:numId w:val="4"/>
        </w:numPr>
      </w:pPr>
      <w:r w:rsidRPr="00427844">
        <w:rPr>
          <w:b/>
          <w:bCs/>
        </w:rPr>
        <w:t>セレリオン</w:t>
      </w:r>
    </w:p>
    <w:p w14:paraId="196206D7" w14:textId="77777777" w:rsidR="00427844" w:rsidRPr="00427844" w:rsidRDefault="00427844" w:rsidP="00427844">
      <w:pPr>
        <w:numPr>
          <w:ilvl w:val="0"/>
          <w:numId w:val="4"/>
        </w:numPr>
      </w:pPr>
      <w:r w:rsidRPr="00427844">
        <w:rPr>
          <w:b/>
          <w:bCs/>
        </w:rPr>
        <w:t>サイネオス・ヘルス</w:t>
      </w:r>
    </w:p>
    <w:p w14:paraId="60AD2E8F" w14:textId="77777777" w:rsidR="00427844" w:rsidRPr="00427844" w:rsidRDefault="00427844" w:rsidP="00427844">
      <w:pPr>
        <w:numPr>
          <w:ilvl w:val="0"/>
          <w:numId w:val="4"/>
        </w:numPr>
      </w:pPr>
      <w:r w:rsidRPr="00427844">
        <w:rPr>
          <w:b/>
          <w:bCs/>
        </w:rPr>
        <w:t>世界的な臨床試験</w:t>
      </w:r>
    </w:p>
    <w:p w14:paraId="6EE01696" w14:textId="77777777" w:rsidR="00427844" w:rsidRPr="00427844" w:rsidRDefault="00427844" w:rsidP="00427844">
      <w:r w:rsidRPr="00427844">
        <w:t>これらの企業は、医薬品、医療機器、バイオテクノロジーなどの業界をサポートする幅広いアウトソーシング ソリューションを提供しています。</w:t>
      </w:r>
    </w:p>
    <w:p w14:paraId="68D646D3" w14:textId="5E66221C" w:rsidR="00CB63BF" w:rsidRDefault="00CB63BF" w:rsidP="00CB63BF">
      <w:pPr>
        <w:rPr>
          <w:b/>
          <w:bCs/>
        </w:rPr>
      </w:pPr>
      <w:r w:rsidRPr="00CB63BF">
        <w:rPr>
          <w:b/>
          <w:bCs/>
        </w:rPr>
        <w:lastRenderedPageBreak/>
        <w:t>より理解を深めるために続きを読む -</w:t>
      </w:r>
      <w:r w:rsidRPr="00CB63BF">
        <w:t> </w:t>
      </w:r>
      <w:hyperlink r:id="rId7" w:history="1">
        <w:r w:rsidRPr="00A8129E">
          <w:rPr>
            <w:rStyle w:val="Hyperlink"/>
          </w:rPr>
          <w:t>https://www.skyquestt.com/report/regulatory-affairs-outsourcing-market</w:t>
        </w:r>
      </w:hyperlink>
    </w:p>
    <w:p w14:paraId="5121E30C" w14:textId="4AD502B9" w:rsidR="00CB63BF" w:rsidRPr="00427844" w:rsidRDefault="00CB63BF" w:rsidP="00CB63BF">
      <w:r w:rsidRPr="00427844">
        <w:rPr>
          <w:b/>
          <w:bCs/>
        </w:rPr>
        <w:t>規制関連業務アウトソーシング市場の推進要因</w:t>
      </w:r>
    </w:p>
    <w:p w14:paraId="1C10236C" w14:textId="77777777" w:rsidR="00CB63BF" w:rsidRPr="00427844" w:rsidRDefault="00CB63BF" w:rsidP="00CB63BF">
      <w:pPr>
        <w:numPr>
          <w:ilvl w:val="0"/>
          <w:numId w:val="2"/>
        </w:numPr>
      </w:pPr>
      <w:r w:rsidRPr="00427844">
        <w:rPr>
          <w:b/>
          <w:bCs/>
        </w:rPr>
        <w:t>規制の複雑化</w:t>
      </w:r>
      <w:r w:rsidRPr="00427844">
        <w:t>: 規制はますます厳しく複雑になり、企業は規制サービスを専門プロバイダーにアウトソーシングせざるを得なくなっています。</w:t>
      </w:r>
    </w:p>
    <w:p w14:paraId="322B9477" w14:textId="77777777" w:rsidR="00CB63BF" w:rsidRPr="00427844" w:rsidRDefault="00CB63BF" w:rsidP="00CB63BF">
      <w:pPr>
        <w:numPr>
          <w:ilvl w:val="0"/>
          <w:numId w:val="2"/>
        </w:numPr>
      </w:pPr>
      <w:r w:rsidRPr="00427844">
        <w:rPr>
          <w:b/>
          <w:bCs/>
        </w:rPr>
        <w:t>コスト効率</w:t>
      </w:r>
      <w:r w:rsidRPr="00427844">
        <w:t>: アウトソーシングにより、企業は社内の専門家の雇用や社内での規制関連業務の管理にかかるコストを削減できます。</w:t>
      </w:r>
    </w:p>
    <w:p w14:paraId="4CEB75D7" w14:textId="77777777" w:rsidR="00CB63BF" w:rsidRPr="00427844" w:rsidRDefault="00CB63BF" w:rsidP="00CB63BF">
      <w:pPr>
        <w:numPr>
          <w:ilvl w:val="0"/>
          <w:numId w:val="2"/>
        </w:numPr>
      </w:pPr>
      <w:r w:rsidRPr="00427844">
        <w:rPr>
          <w:b/>
          <w:bCs/>
        </w:rPr>
        <w:t>グローバル化</w:t>
      </w:r>
      <w:r w:rsidRPr="00427844">
        <w:t>: 企業が世界規模で拡大するにつれて、多様な規制基準に直面することになり、アウトソーシングは地域の需要を満たすためのスケーラブルなソリューションになります。</w:t>
      </w:r>
    </w:p>
    <w:p w14:paraId="0014A66E" w14:textId="77777777" w:rsidR="00CB63BF" w:rsidRPr="00427844" w:rsidRDefault="00CB63BF" w:rsidP="00CB63BF">
      <w:pPr>
        <w:numPr>
          <w:ilvl w:val="0"/>
          <w:numId w:val="2"/>
        </w:numPr>
      </w:pPr>
      <w:r w:rsidRPr="00427844">
        <w:rPr>
          <w:b/>
          <w:bCs/>
        </w:rPr>
        <w:t>臨床試験と製品承認の需要の増加</w:t>
      </w:r>
      <w:r w:rsidRPr="00427844">
        <w:t>: 臨床試験と製品承認の増加により、規制アウトソーシング サービスの需要が高まっています。</w:t>
      </w:r>
    </w:p>
    <w:p w14:paraId="33417DF6" w14:textId="77777777" w:rsidR="00CB63BF" w:rsidRPr="00427844" w:rsidRDefault="00CB63BF" w:rsidP="00CB63BF">
      <w:pPr>
        <w:numPr>
          <w:ilvl w:val="0"/>
          <w:numId w:val="2"/>
        </w:numPr>
      </w:pPr>
      <w:r w:rsidRPr="00427844">
        <w:rPr>
          <w:b/>
          <w:bCs/>
        </w:rPr>
        <w:t>技術の進歩</w:t>
      </w:r>
      <w:r w:rsidRPr="00427844">
        <w:t>: 規制プロセスにおける自動化、AI、機械学習の統合により効率が向上し、アウトソーシングがより魅力的になります。</w:t>
      </w:r>
    </w:p>
    <w:p w14:paraId="728A2274" w14:textId="77777777" w:rsidR="00CB63BF" w:rsidRPr="00427844" w:rsidRDefault="00CB63BF" w:rsidP="00CB63BF">
      <w:r w:rsidRPr="00427844">
        <w:rPr>
          <w:b/>
          <w:bCs/>
        </w:rPr>
        <w:t>規制業務アウトソーシング市場の課題</w:t>
      </w:r>
    </w:p>
    <w:p w14:paraId="3858ACAF" w14:textId="77777777" w:rsidR="00CB63BF" w:rsidRPr="00427844" w:rsidRDefault="00CB63BF" w:rsidP="00CB63BF">
      <w:pPr>
        <w:numPr>
          <w:ilvl w:val="0"/>
          <w:numId w:val="3"/>
        </w:numPr>
      </w:pPr>
      <w:r w:rsidRPr="00427844">
        <w:rPr>
          <w:b/>
          <w:bCs/>
        </w:rPr>
        <w:t>データのセキュリティと機密性</w:t>
      </w:r>
      <w:r w:rsidRPr="00427844">
        <w:t>: アウトソーシングには機密データの共有が伴うため、データ保護に関する懸念が生じます。</w:t>
      </w:r>
    </w:p>
    <w:p w14:paraId="3CE588D2" w14:textId="77777777" w:rsidR="00CB63BF" w:rsidRPr="00427844" w:rsidRDefault="00CB63BF" w:rsidP="00CB63BF">
      <w:pPr>
        <w:numPr>
          <w:ilvl w:val="0"/>
          <w:numId w:val="3"/>
        </w:numPr>
      </w:pPr>
      <w:r w:rsidRPr="00427844">
        <w:rPr>
          <w:b/>
          <w:bCs/>
        </w:rPr>
        <w:t>規制の変更</w:t>
      </w:r>
      <w:r w:rsidRPr="00427844">
        <w:t>: 規制が頻繁に更新されるため、アウトソーシング企業は機敏性を維持し、新しい基準に迅速に適応する必要があります。</w:t>
      </w:r>
    </w:p>
    <w:p w14:paraId="4CBEB28F" w14:textId="77777777" w:rsidR="00CB63BF" w:rsidRPr="00427844" w:rsidRDefault="00CB63BF" w:rsidP="00CB63BF">
      <w:pPr>
        <w:numPr>
          <w:ilvl w:val="0"/>
          <w:numId w:val="3"/>
        </w:numPr>
      </w:pPr>
      <w:r w:rsidRPr="00427844">
        <w:rPr>
          <w:b/>
          <w:bCs/>
        </w:rPr>
        <w:t>統合の問題</w:t>
      </w:r>
      <w:r w:rsidRPr="00427844">
        <w:t>: サードパーティのサービスを内部プロセスと統合すると、ビジネスに課題が生じ、遅延やコンプライアンス リスクにつながる可能性があります。</w:t>
      </w:r>
    </w:p>
    <w:p w14:paraId="25CF7540" w14:textId="3A663BE4" w:rsidR="00427844" w:rsidRPr="00427844" w:rsidRDefault="00427844" w:rsidP="00427844">
      <w:r w:rsidRPr="00427844">
        <w:rPr>
          <w:b/>
          <w:bCs/>
        </w:rPr>
        <w:t>規制業務アウトソーシング市場の将来展望と動向</w:t>
      </w:r>
    </w:p>
    <w:p w14:paraId="22D1DC5D" w14:textId="77777777" w:rsidR="00427844" w:rsidRPr="00427844" w:rsidRDefault="00427844" w:rsidP="00427844">
      <w:pPr>
        <w:numPr>
          <w:ilvl w:val="0"/>
          <w:numId w:val="5"/>
        </w:numPr>
      </w:pPr>
      <w:r w:rsidRPr="00427844">
        <w:rPr>
          <w:b/>
          <w:bCs/>
        </w:rPr>
        <w:t>自動化とデジタル化の強化</w:t>
      </w:r>
      <w:r w:rsidRPr="00427844">
        <w:t>: AI と機械学習の導入により、規制プロセスが合理化され、アウトソーシングがより効率的かつデータ主導型になります。</w:t>
      </w:r>
    </w:p>
    <w:p w14:paraId="67FF9388" w14:textId="77777777" w:rsidR="00427844" w:rsidRPr="00427844" w:rsidRDefault="00427844" w:rsidP="00427844">
      <w:pPr>
        <w:numPr>
          <w:ilvl w:val="0"/>
          <w:numId w:val="5"/>
        </w:numPr>
      </w:pPr>
      <w:r w:rsidRPr="00427844">
        <w:rPr>
          <w:b/>
          <w:bCs/>
        </w:rPr>
        <w:t>新興市場における拡大</w:t>
      </w:r>
      <w:r w:rsidRPr="00427844">
        <w:t>: 新興地域で医療インフラが成長するにつれて、規制アウトソーシング サービスの需要が増加します。</w:t>
      </w:r>
    </w:p>
    <w:p w14:paraId="52CBA7A4" w14:textId="77777777" w:rsidR="00427844" w:rsidRPr="00427844" w:rsidRDefault="00427844" w:rsidP="00427844">
      <w:pPr>
        <w:numPr>
          <w:ilvl w:val="0"/>
          <w:numId w:val="5"/>
        </w:numPr>
      </w:pPr>
      <w:r w:rsidRPr="00427844">
        <w:rPr>
          <w:b/>
          <w:bCs/>
        </w:rPr>
        <w:lastRenderedPageBreak/>
        <w:t>戦略的パートナーシップ</w:t>
      </w:r>
      <w:r w:rsidRPr="00427844">
        <w:t>: 企業は、規制リスクを軽減し、イノベーションを推進するために、規制アウトソーシングプロバイダーと提携するケースが増えています。</w:t>
      </w:r>
    </w:p>
    <w:p w14:paraId="69EB133F" w14:textId="629CF101" w:rsidR="00427844" w:rsidRPr="00427844" w:rsidRDefault="00427844" w:rsidP="00427844">
      <w:r w:rsidRPr="00427844">
        <w:rPr>
          <w:b/>
          <w:bCs/>
        </w:rPr>
        <w:t>規制業務アウトソーシング市場の将来展望</w:t>
      </w:r>
    </w:p>
    <w:p w14:paraId="7A4E3B77" w14:textId="62D5AD5C" w:rsidR="00427844" w:rsidRDefault="00427844" w:rsidP="00427844">
      <w:r w:rsidRPr="00427844">
        <w:t>規制業務アウトソーシング市場は、規制の複雑さ、コスト効率、ヘルスケアの世界的な拡大の増大により、今後も成長を続けると見込まれています。企業は、規制業務を管理し、規制の厳しい環境で競争力を維持するために、アウトソーシング プロバイダーに頼る傾向が高まっています。テクノロジーの進歩と、臨床試験や市場承認に対する需要の高まりは、2032 年以降もこの市場の将来を形作り続けるでしょう。</w:t>
      </w:r>
    </w:p>
    <w:p w14:paraId="33F15274" w14:textId="7EAAAADC" w:rsidR="00CB63BF" w:rsidRPr="00427844" w:rsidRDefault="00CB63BF" w:rsidP="00427844">
      <w:pPr>
        <w:rPr>
          <w:b/>
          <w:bCs/>
        </w:rPr>
      </w:pPr>
      <w:r w:rsidRPr="00CB63BF">
        <w:rPr>
          <w:b/>
          <w:bCs/>
        </w:rPr>
        <w:t>関連する市場調査を調べる:</w:t>
      </w:r>
    </w:p>
    <w:p w14:paraId="197E2B11" w14:textId="54375E9A" w:rsidR="00427844" w:rsidRPr="00CB63BF" w:rsidRDefault="00CB63BF" w:rsidP="00CB63BF">
      <w:pPr>
        <w:spacing w:after="0" w:line="240" w:lineRule="auto"/>
        <w:rPr>
          <w:rFonts w:ascii="Calibri" w:eastAsia="Times New Roman" w:hAnsi="Calibri" w:cs="Calibri"/>
          <w:color w:val="000000"/>
          <w:kern w:val="0"/>
          <w:sz w:val="22"/>
          <w:szCs w:val="22"/>
          <w14:ligatures w14:val="none"/>
        </w:rPr>
      </w:pPr>
      <w:hyperlink r:id="rId8" w:history="1">
        <w:r w:rsidRPr="00CB63BF">
          <w:rPr>
            <w:rStyle w:val="Hyperlink"/>
            <w:rFonts w:ascii="Calibri" w:eastAsia="Times New Roman" w:hAnsi="Calibri" w:cs="Calibri"/>
            <w:kern w:val="0"/>
            <w:sz w:val="22"/>
            <w:szCs w:val="22"/>
            <w14:ligatures w14:val="none"/>
          </w:rPr>
          <w:t>https://pando.life/article/912554</w:t>
        </w:r>
      </w:hyperlink>
      <w:r>
        <w:rPr>
          <w:rFonts w:ascii="Calibri" w:eastAsia="Times New Roman" w:hAnsi="Calibri" w:cs="Calibri"/>
          <w:color w:val="000000"/>
          <w:kern w:val="0"/>
          <w:sz w:val="22"/>
          <w:szCs w:val="22"/>
          <w14:ligatures w14:val="none"/>
        </w:rPr>
        <w:t xml:space="preserve"> </w:t>
      </w:r>
      <w:r w:rsidR="00427844">
        <w:tab/>
      </w:r>
    </w:p>
    <w:sectPr w:rsidR="00427844" w:rsidRPr="00CB63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642B"/>
    <w:multiLevelType w:val="multilevel"/>
    <w:tmpl w:val="1B9ED5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16165E"/>
    <w:multiLevelType w:val="multilevel"/>
    <w:tmpl w:val="78562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A50FD3"/>
    <w:multiLevelType w:val="multilevel"/>
    <w:tmpl w:val="6D94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31842"/>
    <w:multiLevelType w:val="multilevel"/>
    <w:tmpl w:val="7E32D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B86A48"/>
    <w:multiLevelType w:val="multilevel"/>
    <w:tmpl w:val="10DC1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0000685">
    <w:abstractNumId w:val="0"/>
  </w:num>
  <w:num w:numId="2" w16cid:durableId="848563742">
    <w:abstractNumId w:val="1"/>
  </w:num>
  <w:num w:numId="3" w16cid:durableId="1556354083">
    <w:abstractNumId w:val="4"/>
  </w:num>
  <w:num w:numId="4" w16cid:durableId="1664115325">
    <w:abstractNumId w:val="2"/>
  </w:num>
  <w:num w:numId="5" w16cid:durableId="448625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844"/>
    <w:rsid w:val="00427844"/>
    <w:rsid w:val="00452DE5"/>
    <w:rsid w:val="008D6A5E"/>
    <w:rsid w:val="00BB6AD8"/>
    <w:rsid w:val="00CB63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8371D"/>
  <w15:chartTrackingRefBased/>
  <w15:docId w15:val="{FCAAD0CD-D1B7-48E0-B95A-35A460ECE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8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78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78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78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78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78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8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8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8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8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78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78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78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78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78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8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8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844"/>
    <w:rPr>
      <w:rFonts w:eastAsiaTheme="majorEastAsia" w:cstheme="majorBidi"/>
      <w:color w:val="272727" w:themeColor="text1" w:themeTint="D8"/>
    </w:rPr>
  </w:style>
  <w:style w:type="paragraph" w:styleId="Title">
    <w:name w:val="Title"/>
    <w:basedOn w:val="Normal"/>
    <w:next w:val="Normal"/>
    <w:link w:val="TitleChar"/>
    <w:uiPriority w:val="10"/>
    <w:qFormat/>
    <w:rsid w:val="004278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8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8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844"/>
    <w:pPr>
      <w:spacing w:before="160"/>
      <w:jc w:val="center"/>
    </w:pPr>
    <w:rPr>
      <w:i/>
      <w:iCs/>
      <w:color w:val="404040" w:themeColor="text1" w:themeTint="BF"/>
    </w:rPr>
  </w:style>
  <w:style w:type="character" w:customStyle="1" w:styleId="QuoteChar">
    <w:name w:val="Quote Char"/>
    <w:basedOn w:val="DefaultParagraphFont"/>
    <w:link w:val="Quote"/>
    <w:uiPriority w:val="29"/>
    <w:rsid w:val="00427844"/>
    <w:rPr>
      <w:i/>
      <w:iCs/>
      <w:color w:val="404040" w:themeColor="text1" w:themeTint="BF"/>
    </w:rPr>
  </w:style>
  <w:style w:type="paragraph" w:styleId="ListParagraph">
    <w:name w:val="List Paragraph"/>
    <w:basedOn w:val="Normal"/>
    <w:uiPriority w:val="34"/>
    <w:qFormat/>
    <w:rsid w:val="00427844"/>
    <w:pPr>
      <w:ind w:left="720"/>
      <w:contextualSpacing/>
    </w:pPr>
  </w:style>
  <w:style w:type="character" w:styleId="IntenseEmphasis">
    <w:name w:val="Intense Emphasis"/>
    <w:basedOn w:val="DefaultParagraphFont"/>
    <w:uiPriority w:val="21"/>
    <w:qFormat/>
    <w:rsid w:val="00427844"/>
    <w:rPr>
      <w:i/>
      <w:iCs/>
      <w:color w:val="2F5496" w:themeColor="accent1" w:themeShade="BF"/>
    </w:rPr>
  </w:style>
  <w:style w:type="paragraph" w:styleId="IntenseQuote">
    <w:name w:val="Intense Quote"/>
    <w:basedOn w:val="Normal"/>
    <w:next w:val="Normal"/>
    <w:link w:val="IntenseQuoteChar"/>
    <w:uiPriority w:val="30"/>
    <w:qFormat/>
    <w:rsid w:val="004278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7844"/>
    <w:rPr>
      <w:i/>
      <w:iCs/>
      <w:color w:val="2F5496" w:themeColor="accent1" w:themeShade="BF"/>
    </w:rPr>
  </w:style>
  <w:style w:type="character" w:styleId="IntenseReference">
    <w:name w:val="Intense Reference"/>
    <w:basedOn w:val="DefaultParagraphFont"/>
    <w:uiPriority w:val="32"/>
    <w:qFormat/>
    <w:rsid w:val="00427844"/>
    <w:rPr>
      <w:b/>
      <w:bCs/>
      <w:smallCaps/>
      <w:color w:val="2F5496" w:themeColor="accent1" w:themeShade="BF"/>
      <w:spacing w:val="5"/>
    </w:rPr>
  </w:style>
  <w:style w:type="character" w:styleId="Hyperlink">
    <w:name w:val="Hyperlink"/>
    <w:basedOn w:val="DefaultParagraphFont"/>
    <w:uiPriority w:val="99"/>
    <w:unhideWhenUsed/>
    <w:rsid w:val="00CB63BF"/>
    <w:rPr>
      <w:color w:val="0563C1" w:themeColor="hyperlink"/>
      <w:u w:val="single"/>
    </w:rPr>
  </w:style>
  <w:style w:type="character" w:styleId="UnresolvedMention">
    <w:name w:val="Unresolved Mention"/>
    <w:basedOn w:val="DefaultParagraphFont"/>
    <w:uiPriority w:val="99"/>
    <w:semiHidden/>
    <w:unhideWhenUsed/>
    <w:rsid w:val="00CB63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904370">
      <w:bodyDiv w:val="1"/>
      <w:marLeft w:val="0"/>
      <w:marRight w:val="0"/>
      <w:marTop w:val="0"/>
      <w:marBottom w:val="0"/>
      <w:divBdr>
        <w:top w:val="none" w:sz="0" w:space="0" w:color="auto"/>
        <w:left w:val="none" w:sz="0" w:space="0" w:color="auto"/>
        <w:bottom w:val="none" w:sz="0" w:space="0" w:color="auto"/>
        <w:right w:val="none" w:sz="0" w:space="0" w:color="auto"/>
      </w:divBdr>
    </w:div>
    <w:div w:id="734936603">
      <w:bodyDiv w:val="1"/>
      <w:marLeft w:val="0"/>
      <w:marRight w:val="0"/>
      <w:marTop w:val="0"/>
      <w:marBottom w:val="0"/>
      <w:divBdr>
        <w:top w:val="none" w:sz="0" w:space="0" w:color="auto"/>
        <w:left w:val="none" w:sz="0" w:space="0" w:color="auto"/>
        <w:bottom w:val="none" w:sz="0" w:space="0" w:color="auto"/>
        <w:right w:val="none" w:sz="0" w:space="0" w:color="auto"/>
      </w:divBdr>
    </w:div>
    <w:div w:id="1155143446">
      <w:bodyDiv w:val="1"/>
      <w:marLeft w:val="0"/>
      <w:marRight w:val="0"/>
      <w:marTop w:val="0"/>
      <w:marBottom w:val="0"/>
      <w:divBdr>
        <w:top w:val="none" w:sz="0" w:space="0" w:color="auto"/>
        <w:left w:val="none" w:sz="0" w:space="0" w:color="auto"/>
        <w:bottom w:val="none" w:sz="0" w:space="0" w:color="auto"/>
        <w:right w:val="none" w:sz="0" w:space="0" w:color="auto"/>
      </w:divBdr>
    </w:div>
    <w:div w:id="1213617441">
      <w:bodyDiv w:val="1"/>
      <w:marLeft w:val="0"/>
      <w:marRight w:val="0"/>
      <w:marTop w:val="0"/>
      <w:marBottom w:val="0"/>
      <w:divBdr>
        <w:top w:val="none" w:sz="0" w:space="0" w:color="auto"/>
        <w:left w:val="none" w:sz="0" w:space="0" w:color="auto"/>
        <w:bottom w:val="none" w:sz="0" w:space="0" w:color="auto"/>
        <w:right w:val="none" w:sz="0" w:space="0" w:color="auto"/>
      </w:divBdr>
    </w:div>
    <w:div w:id="1383484131">
      <w:bodyDiv w:val="1"/>
      <w:marLeft w:val="0"/>
      <w:marRight w:val="0"/>
      <w:marTop w:val="0"/>
      <w:marBottom w:val="0"/>
      <w:divBdr>
        <w:top w:val="none" w:sz="0" w:space="0" w:color="auto"/>
        <w:left w:val="none" w:sz="0" w:space="0" w:color="auto"/>
        <w:bottom w:val="none" w:sz="0" w:space="0" w:color="auto"/>
        <w:right w:val="none" w:sz="0" w:space="0" w:color="auto"/>
      </w:divBdr>
    </w:div>
    <w:div w:id="1428620319">
      <w:bodyDiv w:val="1"/>
      <w:marLeft w:val="0"/>
      <w:marRight w:val="0"/>
      <w:marTop w:val="0"/>
      <w:marBottom w:val="0"/>
      <w:divBdr>
        <w:top w:val="none" w:sz="0" w:space="0" w:color="auto"/>
        <w:left w:val="none" w:sz="0" w:space="0" w:color="auto"/>
        <w:bottom w:val="none" w:sz="0" w:space="0" w:color="auto"/>
        <w:right w:val="none" w:sz="0" w:space="0" w:color="auto"/>
      </w:divBdr>
    </w:div>
    <w:div w:id="1858957376">
      <w:bodyDiv w:val="1"/>
      <w:marLeft w:val="0"/>
      <w:marRight w:val="0"/>
      <w:marTop w:val="0"/>
      <w:marBottom w:val="0"/>
      <w:divBdr>
        <w:top w:val="none" w:sz="0" w:space="0" w:color="auto"/>
        <w:left w:val="none" w:sz="0" w:space="0" w:color="auto"/>
        <w:bottom w:val="none" w:sz="0" w:space="0" w:color="auto"/>
        <w:right w:val="none" w:sz="0" w:space="0" w:color="auto"/>
      </w:divBdr>
    </w:div>
    <w:div w:id="209068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o.life/article/912554" TargetMode="External"/><Relationship Id="rId3" Type="http://schemas.openxmlformats.org/officeDocument/2006/relationships/settings" Target="settings.xml"/><Relationship Id="rId7" Type="http://schemas.openxmlformats.org/officeDocument/2006/relationships/hyperlink" Target="https://www.skyquestt.com/report/regulatory-affairs-outsourcing-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regulatory-affairs-outsourcing-market" TargetMode="External"/><Relationship Id="rId5" Type="http://schemas.openxmlformats.org/officeDocument/2006/relationships/hyperlink" Target="https://www.skyquestt.com/sample-request/regulatory-affairs-outsourcing-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438</Words>
  <Characters>2501</Characters>
  <Application>Microsoft Office Word</Application>
  <DocSecurity>0</DocSecurity>
  <Lines>20</Lines>
  <Paragraphs>5</Paragraphs>
  <ScaleCrop>false</ScaleCrop>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3</cp:revision>
  <dcterms:created xsi:type="dcterms:W3CDTF">2025-03-20T13:03:00Z</dcterms:created>
  <dcterms:modified xsi:type="dcterms:W3CDTF">2025-03-24T07:37:00Z</dcterms:modified>
</cp:coreProperties>
</file>