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8C07" w14:textId="519A9895" w:rsidR="00BA4A69" w:rsidRDefault="00BA4A69" w:rsidP="00BA4A69">
      <w:proofErr w:type="spellStart"/>
      <w:r w:rsidRPr="00BA4A69">
        <w:rPr>
          <w:b/>
          <w:bCs/>
        </w:rPr>
        <w:t>バイオシミュレーション市場:AIを活用した予測モデリングによる医薬品開発の変革</w:t>
      </w:r>
      <w:proofErr w:type="spellEnd"/>
    </w:p>
    <w:p w14:paraId="7037353D" w14:textId="401A09AC" w:rsidR="00BA4A69" w:rsidRDefault="00BA4A69" w:rsidP="00BA4A69">
      <w:r w:rsidRPr="00BA4A69">
        <w:t xml:space="preserve">シミュレーションソフトウェアは、プロトタイプを作成し、現実世界のオブジェクトやシステムをシミュレートするために使用されるコンピュータープログラムです。これらのソフトウェアツールは、数学的モデルを使用して、システムの動作、プロパティ、および相互作用のさまざまな要素を生成します。シミュレーションソフトウェアが提供する利点には、トレーニングコストの削減、製造コストの削減、機器/材料の品質や生産性の向上などがあり、業界での認知度の向上につながります。これにより、メーカーは、企業にとって最大の懸念事項の1つである製品リコールの状況を減らすことができます。 </w:t>
      </w:r>
    </w:p>
    <w:p w14:paraId="76C6C088" w14:textId="2A3595E3" w:rsidR="00BA4A69" w:rsidRDefault="00BA4A69" w:rsidP="00BA4A69">
      <w:pPr>
        <w:rPr>
          <w:b/>
          <w:bCs/>
        </w:rPr>
      </w:pPr>
      <w:r w:rsidRPr="00BA4A69">
        <w:rPr>
          <w:b/>
          <w:bCs/>
        </w:rPr>
        <w:t>バイオシミュレーションの市場規模は2023年に40億米ドルと評価され、2024年の46億9000万米ドルから2032年までに166億9000万米ドルに成長し、予測期間(2025年から2032年)の間に17.2%のCAGRで成長する態勢を整えています。</w:t>
      </w:r>
    </w:p>
    <w:p w14:paraId="4E37643B" w14:textId="27C47298" w:rsidR="00BA4A69" w:rsidRPr="00BA4A69" w:rsidRDefault="00BA4A69" w:rsidP="00BA4A69">
      <w:r w:rsidRPr="00BA4A69">
        <w:t xml:space="preserve">今すぐ無料サンプルレポートを入手: </w:t>
      </w:r>
      <w:hyperlink r:id="rId5" w:history="1">
        <w:r w:rsidRPr="00BA4A69">
          <w:rPr>
            <w:rStyle w:val="Hyperlink"/>
          </w:rPr>
          <w:t>https://www.skyquestt.com/sample-request/biosimulation-market</w:t>
        </w:r>
      </w:hyperlink>
      <w:r w:rsidRPr="00BA4A69">
        <w:t xml:space="preserve"> </w:t>
      </w:r>
    </w:p>
    <w:p w14:paraId="4DF8F152" w14:textId="77777777" w:rsidR="00BA4A69" w:rsidRPr="00BA4A69" w:rsidRDefault="00BA4A69" w:rsidP="00BA4A69">
      <w:r w:rsidRPr="00BA4A69">
        <w:rPr>
          <w:b/>
          <w:bCs/>
        </w:rPr>
        <w:t>市場概況</w:t>
      </w:r>
    </w:p>
    <w:p w14:paraId="5520ED3D" w14:textId="6142E03B" w:rsidR="00BA4A69" w:rsidRDefault="00BA4A69" w:rsidP="00BA4A69">
      <w:r w:rsidRPr="00BA4A69">
        <w:t>シミュレーションツールは、この点に関する医療専門家のトレーニング、ウイルスの拡散のモデル化、戦略の策定において重要な役割を果たしました。パンデミックにより、業界全体でデジタルテクノロジーの採用が加速しています。組織が業務の合理化、生産性の向上、物理的な相互作用の削減を求める中、シミュレーションソフトウェアは、プロセス、運用、システムをデジタルでシミュレーションおよび最適化するための貴重なツールとなり、パンデミック時には医療業界内で多くの課題が特定されました。</w:t>
      </w:r>
    </w:p>
    <w:p w14:paraId="7E3FD4A6" w14:textId="3148E90A" w:rsidR="00BA4A69" w:rsidRPr="00BA4A69" w:rsidRDefault="00BA4A69" w:rsidP="00BA4A69">
      <w:r w:rsidRPr="00BA4A69">
        <w:rPr>
          <w:b/>
          <w:bCs/>
        </w:rPr>
        <w:t>市場成長の主な推進力</w:t>
      </w:r>
    </w:p>
    <w:p w14:paraId="71CDF1EB" w14:textId="77777777" w:rsidR="00BA4A69" w:rsidRPr="00BA4A69" w:rsidRDefault="00BA4A69" w:rsidP="00BA4A69">
      <w:proofErr w:type="spellStart"/>
      <w:r w:rsidRPr="00BA4A69">
        <w:t>バイオシミュレーション市場の拡大を後押ししている要因はいくつかあります</w:t>
      </w:r>
      <w:proofErr w:type="spellEnd"/>
      <w:r w:rsidRPr="00BA4A69">
        <w:t>。</w:t>
      </w:r>
    </w:p>
    <w:p w14:paraId="04C6A9E7" w14:textId="15607ECC" w:rsidR="00BA4A69" w:rsidRPr="00BA4A69" w:rsidRDefault="00BA4A69" w:rsidP="00BA4A69">
      <w:pPr>
        <w:numPr>
          <w:ilvl w:val="0"/>
          <w:numId w:val="1"/>
        </w:numPr>
      </w:pPr>
      <w:r w:rsidRPr="00BA4A69">
        <w:rPr>
          <w:b/>
          <w:bCs/>
        </w:rPr>
        <w:t>研究開発投資の増加</w:t>
      </w:r>
      <w:r w:rsidRPr="00BA4A69">
        <w:t>:製薬会社やバイオテクノロジー企業は、新薬や治療法を発見するための研究開発に多額の投資を行っています。バイオシミュレーションは、これらのプロセスを合理化するための費用対効果の高いアプローチを提供し、それによって多額の投資を引き付けます。</w:t>
      </w:r>
    </w:p>
    <w:p w14:paraId="5470BB30" w14:textId="31ED036B" w:rsidR="00BA4A69" w:rsidRPr="00BA4A69" w:rsidRDefault="00BA4A69" w:rsidP="00BA4A69">
      <w:pPr>
        <w:numPr>
          <w:ilvl w:val="0"/>
          <w:numId w:val="1"/>
        </w:numPr>
      </w:pPr>
      <w:r w:rsidRPr="00BA4A69">
        <w:rPr>
          <w:b/>
          <w:bCs/>
        </w:rPr>
        <w:t>技術の進歩</w:t>
      </w:r>
      <w:r w:rsidRPr="00BA4A69">
        <w:t>:計算生物学の革新と高度なバイオシミュレーションソフトウェアの開発により、シミュレーションの精度と適用性が向上し、シミュレーションは現代の医薬品開発に不可欠なものとなっています。</w:t>
      </w:r>
    </w:p>
    <w:p w14:paraId="03CA0A17" w14:textId="6CA8F942" w:rsidR="00BA4A69" w:rsidRPr="00BA4A69" w:rsidRDefault="00BA4A69" w:rsidP="00BA4A69">
      <w:pPr>
        <w:numPr>
          <w:ilvl w:val="0"/>
          <w:numId w:val="1"/>
        </w:numPr>
      </w:pPr>
      <w:r w:rsidRPr="00BA4A69">
        <w:rPr>
          <w:b/>
          <w:bCs/>
        </w:rPr>
        <w:lastRenderedPageBreak/>
        <w:t>個別化医療の需要</w:t>
      </w:r>
      <w:r w:rsidRPr="00BA4A69">
        <w:t>:個別化医療へのシフトにより、治療に対する個々の患者の反応をモデル化するためのバイオシミュレーションの使用が必要となり、カスタマイズされた治療戦略の設計が容易になります。</w:t>
      </w:r>
    </w:p>
    <w:p w14:paraId="78F1CC2D" w14:textId="296F4D91" w:rsidR="00BA4A69" w:rsidRPr="00BA4A69" w:rsidRDefault="00BA4A69" w:rsidP="00BA4A69">
      <w:pPr>
        <w:numPr>
          <w:ilvl w:val="0"/>
          <w:numId w:val="1"/>
        </w:numPr>
      </w:pPr>
      <w:r w:rsidRPr="00BA4A69">
        <w:rPr>
          <w:b/>
          <w:bCs/>
        </w:rPr>
        <w:t>規制当局のサポート</w:t>
      </w:r>
      <w:r w:rsidRPr="00BA4A69">
        <w:t>:規制当局は、医薬品評価プロセスにおけるバイオシミュレーションの価値をますます認識しており、規制当局への提出においてこれらのツールが広く受け入れられ、統合されるようになっています。</w:t>
      </w:r>
    </w:p>
    <w:p w14:paraId="6F32C08C" w14:textId="77777777" w:rsidR="00BA4A69" w:rsidRPr="00BA4A69" w:rsidRDefault="00BA4A69" w:rsidP="00BA4A69">
      <w:r w:rsidRPr="00BA4A69">
        <w:rPr>
          <w:b/>
          <w:bCs/>
        </w:rPr>
        <w:t>市場セグメンテーション</w:t>
      </w:r>
    </w:p>
    <w:p w14:paraId="0911B1C6" w14:textId="2DFF7F6E" w:rsidR="00BA4A69" w:rsidRPr="00BA4A69" w:rsidRDefault="00BA4A69" w:rsidP="00BA4A69">
      <w:proofErr w:type="spellStart"/>
      <w:r w:rsidRPr="00BA4A69">
        <w:t>バイオシミュレーション市場は、製品タイプ、アプリケーション、およびエンドユーザーに基づいてセグメント化できます</w:t>
      </w:r>
      <w:proofErr w:type="spellEnd"/>
      <w:r w:rsidRPr="00BA4A69">
        <w:t>。</w:t>
      </w:r>
    </w:p>
    <w:p w14:paraId="06DDB699" w14:textId="77777777" w:rsidR="00BA4A69" w:rsidRPr="00BA4A69" w:rsidRDefault="00BA4A69" w:rsidP="00BA4A69">
      <w:pPr>
        <w:numPr>
          <w:ilvl w:val="0"/>
          <w:numId w:val="2"/>
        </w:numPr>
      </w:pPr>
      <w:r w:rsidRPr="00BA4A69">
        <w:rPr>
          <w:b/>
          <w:bCs/>
        </w:rPr>
        <w:t>製品別</w:t>
      </w:r>
      <w:r w:rsidRPr="00BA4A69">
        <w:t>:</w:t>
      </w:r>
    </w:p>
    <w:p w14:paraId="02B2D1DE" w14:textId="6699B1DA" w:rsidR="00BA4A69" w:rsidRPr="00BA4A69" w:rsidRDefault="00BA4A69" w:rsidP="00BA4A69">
      <w:pPr>
        <w:numPr>
          <w:ilvl w:val="1"/>
          <w:numId w:val="2"/>
        </w:numPr>
      </w:pPr>
      <w:r w:rsidRPr="00BA4A69">
        <w:rPr>
          <w:i/>
          <w:iCs/>
        </w:rPr>
        <w:t>ソフトウェア</w:t>
      </w:r>
      <w:r w:rsidRPr="00BA4A69">
        <w:t>このセグメントは、製薬会社や研究機関によるバイオシミュレーションソフトウェアの広範な採用に牽引されて、最大の市場シェアを保持しています。</w:t>
      </w:r>
      <w:r>
        <w:tab/>
      </w:r>
    </w:p>
    <w:p w14:paraId="2129F3AA" w14:textId="4CBB5A12" w:rsidR="00BA4A69" w:rsidRPr="00BA4A69" w:rsidRDefault="00BA4A69" w:rsidP="00BA4A69">
      <w:pPr>
        <w:numPr>
          <w:ilvl w:val="1"/>
          <w:numId w:val="2"/>
        </w:numPr>
      </w:pPr>
      <w:proofErr w:type="spellStart"/>
      <w:r w:rsidRPr="00BA4A69">
        <w:rPr>
          <w:i/>
          <w:iCs/>
        </w:rPr>
        <w:t>サービス</w:t>
      </w:r>
      <w:r w:rsidRPr="00BA4A69">
        <w:t>:バイオシミュレーションツールの導入と活用を支援するコンサルティングおよび契約サービスが含まれます</w:t>
      </w:r>
      <w:proofErr w:type="spellEnd"/>
      <w:r w:rsidRPr="00BA4A69">
        <w:t>。</w:t>
      </w:r>
    </w:p>
    <w:p w14:paraId="61757535" w14:textId="77777777" w:rsidR="00BA4A69" w:rsidRPr="00BA4A69" w:rsidRDefault="00BA4A69" w:rsidP="00BA4A69">
      <w:pPr>
        <w:numPr>
          <w:ilvl w:val="0"/>
          <w:numId w:val="2"/>
        </w:numPr>
      </w:pPr>
      <w:r w:rsidRPr="00BA4A69">
        <w:rPr>
          <w:b/>
          <w:bCs/>
        </w:rPr>
        <w:t>アプリケーション別</w:t>
      </w:r>
      <w:r w:rsidRPr="00BA4A69">
        <w:t>:</w:t>
      </w:r>
    </w:p>
    <w:p w14:paraId="721E68CA" w14:textId="4A7B390F" w:rsidR="00BA4A69" w:rsidRPr="00BA4A69" w:rsidRDefault="00BA4A69" w:rsidP="00BA4A69">
      <w:pPr>
        <w:numPr>
          <w:ilvl w:val="1"/>
          <w:numId w:val="2"/>
        </w:numPr>
      </w:pPr>
      <w:r w:rsidRPr="00BA4A69">
        <w:rPr>
          <w:i/>
          <w:iCs/>
        </w:rPr>
        <w:t>医薬品開発</w:t>
      </w:r>
      <w:r w:rsidRPr="00BA4A69">
        <w:t>:バイオシミュレーションは、開発段階での医薬品の有効性と安全性プロファイルの予測に広く使用されているため、アプリケーションセグメントを支配しています。</w:t>
      </w:r>
    </w:p>
    <w:p w14:paraId="13A6F4DD" w14:textId="7448CA17" w:rsidR="00BA4A69" w:rsidRPr="00BA4A69" w:rsidRDefault="00BA4A69" w:rsidP="00BA4A69">
      <w:pPr>
        <w:numPr>
          <w:ilvl w:val="1"/>
          <w:numId w:val="2"/>
        </w:numPr>
      </w:pPr>
      <w:r w:rsidRPr="00BA4A69">
        <w:rPr>
          <w:i/>
          <w:iCs/>
        </w:rPr>
        <w:t>創薬</w:t>
      </w:r>
      <w:r w:rsidRPr="00BA4A69">
        <w:t>:潜在的な医薬品候補を特定し、分子レベルでの相互作用を理解するために利用されます。</w:t>
      </w:r>
    </w:p>
    <w:p w14:paraId="070C6FEC" w14:textId="77777777" w:rsidR="00BA4A69" w:rsidRPr="00BA4A69" w:rsidRDefault="00BA4A69" w:rsidP="00BA4A69">
      <w:pPr>
        <w:numPr>
          <w:ilvl w:val="0"/>
          <w:numId w:val="2"/>
        </w:numPr>
      </w:pPr>
      <w:r w:rsidRPr="00BA4A69">
        <w:rPr>
          <w:b/>
          <w:bCs/>
        </w:rPr>
        <w:t>エンドユーザー別</w:t>
      </w:r>
      <w:r w:rsidRPr="00BA4A69">
        <w:t>:</w:t>
      </w:r>
    </w:p>
    <w:p w14:paraId="032E559A" w14:textId="277DC5CC" w:rsidR="00BA4A69" w:rsidRPr="00BA4A69" w:rsidRDefault="00BA4A69" w:rsidP="00BA4A69">
      <w:pPr>
        <w:numPr>
          <w:ilvl w:val="1"/>
          <w:numId w:val="2"/>
        </w:numPr>
      </w:pPr>
      <w:proofErr w:type="spellStart"/>
      <w:r w:rsidRPr="00BA4A69">
        <w:rPr>
          <w:i/>
          <w:iCs/>
        </w:rPr>
        <w:t>製薬・バイオテクノロジー企業</w:t>
      </w:r>
      <w:r w:rsidRPr="00BA4A69">
        <w:t>:医薬品開発パイプラインを強化するためのバイオシミュレーションツールの主なユーザ</w:t>
      </w:r>
      <w:proofErr w:type="spellEnd"/>
      <w:r w:rsidRPr="00BA4A69">
        <w:t>ー。</w:t>
      </w:r>
    </w:p>
    <w:p w14:paraId="2396B682" w14:textId="2E918DD7" w:rsidR="00BA4A69" w:rsidRPr="00BA4A69" w:rsidRDefault="00BA4A69" w:rsidP="00BA4A69">
      <w:pPr>
        <w:numPr>
          <w:ilvl w:val="1"/>
          <w:numId w:val="2"/>
        </w:numPr>
      </w:pPr>
      <w:proofErr w:type="spellStart"/>
      <w:r w:rsidRPr="00BA4A69">
        <w:rPr>
          <w:i/>
          <w:iCs/>
        </w:rPr>
        <w:t>研究機関</w:t>
      </w:r>
      <w:r w:rsidRPr="00BA4A69">
        <w:t>:学術研究および臨床研究の目的でバイオシミュレーションを採用します</w:t>
      </w:r>
      <w:proofErr w:type="spellEnd"/>
      <w:r w:rsidRPr="00BA4A69">
        <w:t>。</w:t>
      </w:r>
    </w:p>
    <w:p w14:paraId="67E47098" w14:textId="20FB4AA6" w:rsidR="00BA4A69" w:rsidRPr="00BA4A69" w:rsidRDefault="00BA4A69" w:rsidP="00BA4A69">
      <w:pPr>
        <w:numPr>
          <w:ilvl w:val="1"/>
          <w:numId w:val="2"/>
        </w:numPr>
      </w:pPr>
      <w:proofErr w:type="spellStart"/>
      <w:r w:rsidRPr="00BA4A69">
        <w:rPr>
          <w:i/>
          <w:iCs/>
        </w:rPr>
        <w:t>医薬品開発業務受託機関</w:t>
      </w:r>
      <w:proofErr w:type="spellEnd"/>
      <w:r w:rsidRPr="00BA4A69">
        <w:rPr>
          <w:i/>
          <w:iCs/>
        </w:rPr>
        <w:t>(CRO):</w:t>
      </w:r>
      <w:proofErr w:type="spellStart"/>
      <w:r w:rsidRPr="00BA4A69">
        <w:t>ヘルスケアセクターのさまざまな利害関係者にバイオシミュレーションサービスを提供しています</w:t>
      </w:r>
      <w:proofErr w:type="spellEnd"/>
      <w:r w:rsidRPr="00BA4A69">
        <w:t>。</w:t>
      </w:r>
    </w:p>
    <w:p w14:paraId="41C0601E" w14:textId="77777777" w:rsidR="00BA4A69" w:rsidRPr="00BA4A69" w:rsidRDefault="00BA4A69" w:rsidP="00BA4A69">
      <w:r w:rsidRPr="00BA4A69">
        <w:rPr>
          <w:b/>
          <w:bCs/>
        </w:rPr>
        <w:t>地域インサイト</w:t>
      </w:r>
    </w:p>
    <w:p w14:paraId="0C344421" w14:textId="636B781A" w:rsidR="00BA4A69" w:rsidRPr="00BA4A69" w:rsidRDefault="00BA4A69" w:rsidP="00BA4A69">
      <w:r w:rsidRPr="00BA4A69">
        <w:lastRenderedPageBreak/>
        <w:t>地理的には、北米はバイオシミュレーション市場をリードしており、これは堅調な製薬業界、多額の研究開発投資、および先進技術の早期採用に起因しています。しかし、アジア太平洋地域は、医療費の増加、バイオテクノロジーセクターの成長、中国、日本、インドなどの国々での政府の支援的な取り組みに牽引され、最も急成長している市場として浮上しています。引用turn0search12</w:t>
      </w:r>
    </w:p>
    <w:p w14:paraId="08F7E6E5" w14:textId="091FAD88" w:rsidR="00BA4A69" w:rsidRPr="00BA4A69" w:rsidRDefault="00BA4A69" w:rsidP="00BA4A69">
      <w:r w:rsidRPr="00BA4A69">
        <w:t xml:space="preserve">レポート全文は、次のWebサイトにアクセスしてください </w:t>
      </w:r>
      <w:hyperlink r:id="rId6" w:history="1">
        <w:r w:rsidRPr="00BA4A69">
          <w:rPr>
            <w:rStyle w:val="Hyperlink"/>
          </w:rPr>
          <w:t>https://www.skyquestt.com/report/biosimulation-market</w:t>
        </w:r>
      </w:hyperlink>
      <w:r w:rsidRPr="00BA4A69">
        <w:t xml:space="preserve"> </w:t>
      </w:r>
    </w:p>
    <w:p w14:paraId="749C9E1C" w14:textId="5DA11D8F" w:rsidR="00BA4A69" w:rsidRPr="00BA4A69" w:rsidRDefault="00BA4A69" w:rsidP="00BA4A69">
      <w:r w:rsidRPr="00BA4A69">
        <w:rPr>
          <w:b/>
          <w:bCs/>
        </w:rPr>
        <w:t>今後の見通し</w:t>
      </w:r>
    </w:p>
    <w:p w14:paraId="7AFE5707" w14:textId="17DB39E5" w:rsidR="004D40C5" w:rsidRDefault="00BA4A69">
      <w:r w:rsidRPr="00BA4A69">
        <w:t>バイオシミュレーション市場の未来は、計算生物学の継続的な進歩、人工知能の統合の増加、個別化医療への応用の拡大により、有望視されています。効率的で費用対効果の高い医薬品開発プロセスに対する需要が高まる中、バイオシミュレーションは、ヘルスケアイノベーションの未来を形作る上でますます重要な役割を果たす態勢を整えています。</w:t>
      </w:r>
    </w:p>
    <w:p w14:paraId="6B1CFED2" w14:textId="130A4529" w:rsidR="00BA4A69" w:rsidRDefault="00BA4A69">
      <w:r>
        <w:t>関連レポート:</w:t>
      </w:r>
    </w:p>
    <w:p w14:paraId="70641B13" w14:textId="35B536A7" w:rsidR="00BA4A69" w:rsidRDefault="00BA4A69" w:rsidP="00BA4A69">
      <w:r>
        <w:t xml:space="preserve">外科用ナビゲーションシステム市場 - </w:t>
      </w:r>
      <w:hyperlink r:id="rId7" w:history="1">
        <w:r w:rsidRPr="00646BB8">
          <w:rPr>
            <w:rStyle w:val="Hyperlink"/>
          </w:rPr>
          <w:t>https://www.skyquestt.com/report/surgical-navigation-systems-market</w:t>
        </w:r>
      </w:hyperlink>
      <w:r>
        <w:t xml:space="preserve"> </w:t>
      </w:r>
    </w:p>
    <w:p w14:paraId="4249590F" w14:textId="38E8AF51" w:rsidR="00BA4A69" w:rsidRDefault="00BA4A69" w:rsidP="00BA4A69">
      <w:r>
        <w:t xml:space="preserve">泌尿器科デバイス市場 - </w:t>
      </w:r>
      <w:hyperlink r:id="rId8" w:history="1">
        <w:r w:rsidRPr="00646BB8">
          <w:rPr>
            <w:rStyle w:val="Hyperlink"/>
          </w:rPr>
          <w:t>https://www.skyquestt.com/report/urology-devices-market</w:t>
        </w:r>
      </w:hyperlink>
      <w:r>
        <w:t xml:space="preserve"> </w:t>
      </w:r>
    </w:p>
    <w:sectPr w:rsidR="00BA4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100DF"/>
    <w:multiLevelType w:val="multilevel"/>
    <w:tmpl w:val="4608EF8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4646326F"/>
    <w:multiLevelType w:val="multilevel"/>
    <w:tmpl w:val="2A2E8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404222">
    <w:abstractNumId w:val="0"/>
  </w:num>
  <w:num w:numId="2" w16cid:durableId="190586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69"/>
    <w:rsid w:val="001D01DB"/>
    <w:rsid w:val="00274CDA"/>
    <w:rsid w:val="004D40C5"/>
    <w:rsid w:val="00833DD0"/>
    <w:rsid w:val="00A422DE"/>
    <w:rsid w:val="00B354D8"/>
    <w:rsid w:val="00B56B57"/>
    <w:rsid w:val="00BA4A69"/>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6F26"/>
  <w15:chartTrackingRefBased/>
  <w15:docId w15:val="{35F7984C-DD8E-47A3-8D2A-8690FD3B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4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A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A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A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A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A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A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A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A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A69"/>
    <w:rPr>
      <w:rFonts w:eastAsiaTheme="majorEastAsia" w:cstheme="majorBidi"/>
      <w:color w:val="272727" w:themeColor="text1" w:themeTint="D8"/>
    </w:rPr>
  </w:style>
  <w:style w:type="paragraph" w:styleId="Title">
    <w:name w:val="Title"/>
    <w:basedOn w:val="Normal"/>
    <w:next w:val="Normal"/>
    <w:link w:val="TitleChar"/>
    <w:uiPriority w:val="10"/>
    <w:qFormat/>
    <w:rsid w:val="00BA4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A69"/>
    <w:pPr>
      <w:spacing w:before="160"/>
      <w:jc w:val="center"/>
    </w:pPr>
    <w:rPr>
      <w:i/>
      <w:iCs/>
      <w:color w:val="404040" w:themeColor="text1" w:themeTint="BF"/>
    </w:rPr>
  </w:style>
  <w:style w:type="character" w:customStyle="1" w:styleId="QuoteChar">
    <w:name w:val="Quote Char"/>
    <w:basedOn w:val="DefaultParagraphFont"/>
    <w:link w:val="Quote"/>
    <w:uiPriority w:val="29"/>
    <w:rsid w:val="00BA4A69"/>
    <w:rPr>
      <w:i/>
      <w:iCs/>
      <w:color w:val="404040" w:themeColor="text1" w:themeTint="BF"/>
    </w:rPr>
  </w:style>
  <w:style w:type="paragraph" w:styleId="ListParagraph">
    <w:name w:val="List Paragraph"/>
    <w:basedOn w:val="Normal"/>
    <w:uiPriority w:val="34"/>
    <w:qFormat/>
    <w:rsid w:val="00BA4A69"/>
    <w:pPr>
      <w:ind w:left="720"/>
      <w:contextualSpacing/>
    </w:pPr>
  </w:style>
  <w:style w:type="character" w:styleId="IntenseEmphasis">
    <w:name w:val="Intense Emphasis"/>
    <w:basedOn w:val="DefaultParagraphFont"/>
    <w:uiPriority w:val="21"/>
    <w:qFormat/>
    <w:rsid w:val="00BA4A69"/>
    <w:rPr>
      <w:i/>
      <w:iCs/>
      <w:color w:val="2F5496" w:themeColor="accent1" w:themeShade="BF"/>
    </w:rPr>
  </w:style>
  <w:style w:type="paragraph" w:styleId="IntenseQuote">
    <w:name w:val="Intense Quote"/>
    <w:basedOn w:val="Normal"/>
    <w:next w:val="Normal"/>
    <w:link w:val="IntenseQuoteChar"/>
    <w:uiPriority w:val="30"/>
    <w:qFormat/>
    <w:rsid w:val="00BA4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A69"/>
    <w:rPr>
      <w:i/>
      <w:iCs/>
      <w:color w:val="2F5496" w:themeColor="accent1" w:themeShade="BF"/>
    </w:rPr>
  </w:style>
  <w:style w:type="character" w:styleId="IntenseReference">
    <w:name w:val="Intense Reference"/>
    <w:basedOn w:val="DefaultParagraphFont"/>
    <w:uiPriority w:val="32"/>
    <w:qFormat/>
    <w:rsid w:val="00BA4A69"/>
    <w:rPr>
      <w:b/>
      <w:bCs/>
      <w:smallCaps/>
      <w:color w:val="2F5496" w:themeColor="accent1" w:themeShade="BF"/>
      <w:spacing w:val="5"/>
    </w:rPr>
  </w:style>
  <w:style w:type="character" w:styleId="Hyperlink">
    <w:name w:val="Hyperlink"/>
    <w:basedOn w:val="DefaultParagraphFont"/>
    <w:uiPriority w:val="99"/>
    <w:unhideWhenUsed/>
    <w:rsid w:val="00BA4A69"/>
    <w:rPr>
      <w:color w:val="0563C1" w:themeColor="hyperlink"/>
      <w:u w:val="single"/>
    </w:rPr>
  </w:style>
  <w:style w:type="character" w:styleId="UnresolvedMention">
    <w:name w:val="Unresolved Mention"/>
    <w:basedOn w:val="DefaultParagraphFont"/>
    <w:uiPriority w:val="99"/>
    <w:semiHidden/>
    <w:unhideWhenUsed/>
    <w:rsid w:val="00BA4A69"/>
    <w:rPr>
      <w:color w:val="605E5C"/>
      <w:shd w:val="clear" w:color="auto" w:fill="E1DFDD"/>
    </w:rPr>
  </w:style>
  <w:style w:type="character" w:styleId="PlaceholderText">
    <w:name w:val="Placeholder Text"/>
    <w:basedOn w:val="DefaultParagraphFont"/>
    <w:uiPriority w:val="99"/>
    <w:semiHidden/>
    <w:rsid w:val="00A422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90413">
      <w:bodyDiv w:val="1"/>
      <w:marLeft w:val="0"/>
      <w:marRight w:val="0"/>
      <w:marTop w:val="0"/>
      <w:marBottom w:val="0"/>
      <w:divBdr>
        <w:top w:val="none" w:sz="0" w:space="0" w:color="auto"/>
        <w:left w:val="none" w:sz="0" w:space="0" w:color="auto"/>
        <w:bottom w:val="none" w:sz="0" w:space="0" w:color="auto"/>
        <w:right w:val="none" w:sz="0" w:space="0" w:color="auto"/>
      </w:divBdr>
    </w:div>
    <w:div w:id="509416891">
      <w:bodyDiv w:val="1"/>
      <w:marLeft w:val="0"/>
      <w:marRight w:val="0"/>
      <w:marTop w:val="0"/>
      <w:marBottom w:val="0"/>
      <w:divBdr>
        <w:top w:val="none" w:sz="0" w:space="0" w:color="auto"/>
        <w:left w:val="none" w:sz="0" w:space="0" w:color="auto"/>
        <w:bottom w:val="none" w:sz="0" w:space="0" w:color="auto"/>
        <w:right w:val="none" w:sz="0" w:space="0" w:color="auto"/>
      </w:divBdr>
    </w:div>
    <w:div w:id="650983071">
      <w:bodyDiv w:val="1"/>
      <w:marLeft w:val="0"/>
      <w:marRight w:val="0"/>
      <w:marTop w:val="0"/>
      <w:marBottom w:val="0"/>
      <w:divBdr>
        <w:top w:val="none" w:sz="0" w:space="0" w:color="auto"/>
        <w:left w:val="none" w:sz="0" w:space="0" w:color="auto"/>
        <w:bottom w:val="none" w:sz="0" w:space="0" w:color="auto"/>
        <w:right w:val="none" w:sz="0" w:space="0" w:color="auto"/>
      </w:divBdr>
    </w:div>
    <w:div w:id="660501519">
      <w:bodyDiv w:val="1"/>
      <w:marLeft w:val="0"/>
      <w:marRight w:val="0"/>
      <w:marTop w:val="0"/>
      <w:marBottom w:val="0"/>
      <w:divBdr>
        <w:top w:val="none" w:sz="0" w:space="0" w:color="auto"/>
        <w:left w:val="none" w:sz="0" w:space="0" w:color="auto"/>
        <w:bottom w:val="none" w:sz="0" w:space="0" w:color="auto"/>
        <w:right w:val="none" w:sz="0" w:space="0" w:color="auto"/>
      </w:divBdr>
    </w:div>
    <w:div w:id="831455857">
      <w:bodyDiv w:val="1"/>
      <w:marLeft w:val="0"/>
      <w:marRight w:val="0"/>
      <w:marTop w:val="0"/>
      <w:marBottom w:val="0"/>
      <w:divBdr>
        <w:top w:val="none" w:sz="0" w:space="0" w:color="auto"/>
        <w:left w:val="none" w:sz="0" w:space="0" w:color="auto"/>
        <w:bottom w:val="none" w:sz="0" w:space="0" w:color="auto"/>
        <w:right w:val="none" w:sz="0" w:space="0" w:color="auto"/>
      </w:divBdr>
    </w:div>
    <w:div w:id="928734918">
      <w:bodyDiv w:val="1"/>
      <w:marLeft w:val="0"/>
      <w:marRight w:val="0"/>
      <w:marTop w:val="0"/>
      <w:marBottom w:val="0"/>
      <w:divBdr>
        <w:top w:val="none" w:sz="0" w:space="0" w:color="auto"/>
        <w:left w:val="none" w:sz="0" w:space="0" w:color="auto"/>
        <w:bottom w:val="none" w:sz="0" w:space="0" w:color="auto"/>
        <w:right w:val="none" w:sz="0" w:space="0" w:color="auto"/>
      </w:divBdr>
    </w:div>
    <w:div w:id="1062558376">
      <w:bodyDiv w:val="1"/>
      <w:marLeft w:val="0"/>
      <w:marRight w:val="0"/>
      <w:marTop w:val="0"/>
      <w:marBottom w:val="0"/>
      <w:divBdr>
        <w:top w:val="none" w:sz="0" w:space="0" w:color="auto"/>
        <w:left w:val="none" w:sz="0" w:space="0" w:color="auto"/>
        <w:bottom w:val="none" w:sz="0" w:space="0" w:color="auto"/>
        <w:right w:val="none" w:sz="0" w:space="0" w:color="auto"/>
      </w:divBdr>
    </w:div>
    <w:div w:id="1089471845">
      <w:bodyDiv w:val="1"/>
      <w:marLeft w:val="0"/>
      <w:marRight w:val="0"/>
      <w:marTop w:val="0"/>
      <w:marBottom w:val="0"/>
      <w:divBdr>
        <w:top w:val="none" w:sz="0" w:space="0" w:color="auto"/>
        <w:left w:val="none" w:sz="0" w:space="0" w:color="auto"/>
        <w:bottom w:val="none" w:sz="0" w:space="0" w:color="auto"/>
        <w:right w:val="none" w:sz="0" w:space="0" w:color="auto"/>
      </w:divBdr>
    </w:div>
    <w:div w:id="1724404938">
      <w:bodyDiv w:val="1"/>
      <w:marLeft w:val="0"/>
      <w:marRight w:val="0"/>
      <w:marTop w:val="0"/>
      <w:marBottom w:val="0"/>
      <w:divBdr>
        <w:top w:val="none" w:sz="0" w:space="0" w:color="auto"/>
        <w:left w:val="none" w:sz="0" w:space="0" w:color="auto"/>
        <w:bottom w:val="none" w:sz="0" w:space="0" w:color="auto"/>
        <w:right w:val="none" w:sz="0" w:space="0" w:color="auto"/>
      </w:divBdr>
    </w:div>
    <w:div w:id="1749886563">
      <w:bodyDiv w:val="1"/>
      <w:marLeft w:val="0"/>
      <w:marRight w:val="0"/>
      <w:marTop w:val="0"/>
      <w:marBottom w:val="0"/>
      <w:divBdr>
        <w:top w:val="none" w:sz="0" w:space="0" w:color="auto"/>
        <w:left w:val="none" w:sz="0" w:space="0" w:color="auto"/>
        <w:bottom w:val="none" w:sz="0" w:space="0" w:color="auto"/>
        <w:right w:val="none" w:sz="0" w:space="0" w:color="auto"/>
      </w:divBdr>
    </w:div>
    <w:div w:id="20370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urology-devices-market" TargetMode="External"/><Relationship Id="rId3" Type="http://schemas.openxmlformats.org/officeDocument/2006/relationships/settings" Target="settings.xml"/><Relationship Id="rId7" Type="http://schemas.openxmlformats.org/officeDocument/2006/relationships/hyperlink" Target="https://www.skyquestt.com/report/surgical-navigation-system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biosimulation-market" TargetMode="External"/><Relationship Id="rId5" Type="http://schemas.openxmlformats.org/officeDocument/2006/relationships/hyperlink" Target="https://www.skyquestt.com/sample-request/biosimulation-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2025-03-27T16:19:00Z</dcterms:created>
  <dcterms:modified xsi:type="dcterms:W3CDTF">2025-03-27T16:24:00Z</dcterms:modified>
</cp:coreProperties>
</file>