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19AE" w14:textId="2506FB49" w:rsidR="003B7211" w:rsidRDefault="003B7211">
      <w:proofErr w:type="spellStart"/>
      <w:r w:rsidRPr="003B7211">
        <w:rPr>
          <w:b/>
          <w:bCs/>
        </w:rPr>
        <w:t>バイオマーカーは、疾患診断と個別化医療にどのように革命をもたらしていますか</w:t>
      </w:r>
      <w:proofErr w:type="spellEnd"/>
      <w:r w:rsidRPr="003B7211">
        <w:rPr>
          <w:b/>
          <w:bCs/>
        </w:rPr>
        <w:t>?</w:t>
      </w:r>
    </w:p>
    <w:p w14:paraId="7E35F18B" w14:textId="123E0979" w:rsidR="004D40C5" w:rsidRDefault="00841218">
      <w:r w:rsidRPr="00841218">
        <w:t xml:space="preserve">バイオマーカー市場は、慢性疾患の症例の増加、技術の進歩、個別化医療の需要の高まりにより、ここ数年で大幅な成長を遂げています。現在、慢性疾患に苦しむ患者の数は世界規模で増加しており、これが主にバイオマーカーによる早期発見、モニタリング、診断の需要を後押ししています。さらに、プロテオミクス、ゲノム、メタボロミクス技術の近代化により、新規バイオマーカーの発見と出現が進んでいます。 </w:t>
      </w:r>
    </w:p>
    <w:p w14:paraId="2216867E" w14:textId="77777777" w:rsidR="00841218" w:rsidRPr="00841218" w:rsidRDefault="00841218" w:rsidP="00841218">
      <w:pPr>
        <w:rPr>
          <w:b/>
          <w:bCs/>
        </w:rPr>
      </w:pPr>
      <w:r w:rsidRPr="00841218">
        <w:rPr>
          <w:b/>
          <w:bCs/>
        </w:rPr>
        <w:t>バイオマーカーの市場規模は2023年に582億米ドルと評価され、2024年の660億6000万米ドルから2032年までに1819億2000万米ドルに成長し、予測期間(2025年から2032年)の間に13.5%のCAGRで成長する態勢を整えています。</w:t>
      </w:r>
    </w:p>
    <w:p w14:paraId="7D7CBD47" w14:textId="3DFD8741" w:rsidR="00841218" w:rsidRDefault="00841218">
      <w:r w:rsidRPr="00841218">
        <w:t xml:space="preserve">今すぐ無料サンプルレポートを入手: </w:t>
      </w:r>
      <w:hyperlink r:id="rId5" w:history="1">
        <w:r w:rsidRPr="000D35AA">
          <w:rPr>
            <w:rStyle w:val="Hyperlink"/>
          </w:rPr>
          <w:t>https://www.skyquestt.com/sample-request/biomarkers-market</w:t>
        </w:r>
      </w:hyperlink>
      <w:r>
        <w:t xml:space="preserve"> </w:t>
      </w:r>
    </w:p>
    <w:p w14:paraId="4581561B" w14:textId="38CE2396" w:rsidR="00841218" w:rsidRDefault="00841218">
      <w:pPr>
        <w:rPr>
          <w:b/>
          <w:bCs/>
        </w:rPr>
      </w:pPr>
      <w:r w:rsidRPr="00841218">
        <w:rPr>
          <w:b/>
          <w:bCs/>
        </w:rPr>
        <w:t>市場概況</w:t>
      </w:r>
    </w:p>
    <w:p w14:paraId="7144C2CE" w14:textId="77777777" w:rsidR="00841218" w:rsidRPr="00841218" w:rsidRDefault="00841218" w:rsidP="00841218">
      <w:r w:rsidRPr="00841218">
        <w:t>これらの要因は、バイオマーカー市場を大きく牽引しています。しかし、市場は、主要な技術、研究、臨床試験を含むバイオマーカーの作成と検証にかかる高コストなどの要因によって抑制されています。また、バイオマーカーとそれに関連する利点に対する認知度の低さは、市場全体の成長を妨げます。それにもかかわらず、オーダーメイド医療の拡大と技術の大幅な進歩は、バイオマーカー市場で見られるいくつかの機会です。</w:t>
      </w:r>
    </w:p>
    <w:p w14:paraId="77F5BCBC" w14:textId="77777777" w:rsidR="00841218" w:rsidRPr="00841218" w:rsidRDefault="00841218" w:rsidP="00841218">
      <w:r w:rsidRPr="00841218">
        <w:t>バイオマーカー市場の拡大を後押ししている要因はいくつかあります。</w:t>
      </w:r>
    </w:p>
    <w:p w14:paraId="29568311" w14:textId="49240E48" w:rsidR="00841218" w:rsidRPr="00841218" w:rsidRDefault="00841218" w:rsidP="00841218">
      <w:pPr>
        <w:numPr>
          <w:ilvl w:val="0"/>
          <w:numId w:val="1"/>
        </w:numPr>
      </w:pPr>
      <w:r w:rsidRPr="00841218">
        <w:rPr>
          <w:b/>
          <w:bCs/>
        </w:rPr>
        <w:t>慢性疾患の有病率の上昇</w:t>
      </w:r>
      <w:r w:rsidRPr="00841218">
        <w:t xml:space="preserve">:慢性疾患の発生率の増加により、早期の検出と監視が必要であり、バイオマーカーの需要が高まっています。 </w:t>
      </w:r>
    </w:p>
    <w:p w14:paraId="76EEE5EF" w14:textId="747A9EF8" w:rsidR="00841218" w:rsidRPr="00841218" w:rsidRDefault="00841218" w:rsidP="00841218">
      <w:pPr>
        <w:numPr>
          <w:ilvl w:val="0"/>
          <w:numId w:val="1"/>
        </w:numPr>
      </w:pPr>
      <w:r w:rsidRPr="00841218">
        <w:rPr>
          <w:b/>
          <w:bCs/>
        </w:rPr>
        <w:t>技術の進歩</w:t>
      </w:r>
      <w:r w:rsidRPr="00841218">
        <w:t xml:space="preserve">:プロテオミクス、ゲノミクス、メタボロミクスの革新により、新規バイオマーカーの発見と応用が進んでいます。 </w:t>
      </w:r>
    </w:p>
    <w:p w14:paraId="45F7FBF5" w14:textId="77777777" w:rsidR="00841218" w:rsidRPr="00841218" w:rsidRDefault="00841218" w:rsidP="00841218">
      <w:pPr>
        <w:numPr>
          <w:ilvl w:val="0"/>
          <w:numId w:val="1"/>
        </w:numPr>
      </w:pPr>
      <w:r w:rsidRPr="00841218">
        <w:rPr>
          <w:b/>
          <w:bCs/>
        </w:rPr>
        <w:t>個別化医療の需要</w:t>
      </w:r>
      <w:r w:rsidRPr="00841218">
        <w:t>:バイオマーカーは、個別化医療への注目の高まりに合わせて、カスタマイズされた治療アプローチを促進します。</w:t>
      </w:r>
    </w:p>
    <w:p w14:paraId="3644453D" w14:textId="77777777" w:rsidR="00841218" w:rsidRPr="00841218" w:rsidRDefault="00841218" w:rsidP="00841218">
      <w:pPr>
        <w:rPr>
          <w:b/>
          <w:bCs/>
        </w:rPr>
      </w:pPr>
      <w:r w:rsidRPr="00841218">
        <w:rPr>
          <w:b/>
          <w:bCs/>
        </w:rPr>
        <w:t>バイオマーカー市場セグメント分析</w:t>
      </w:r>
    </w:p>
    <w:p w14:paraId="684B2314" w14:textId="77777777" w:rsidR="00841218" w:rsidRDefault="00841218" w:rsidP="00841218">
      <w:r>
        <w:t xml:space="preserve">世界のバイオマーカー市場は、製品、タイプ、研究分野、技術、疾患適応症、アプリケーション、エンドユーザー、地域別に分類されています。 </w:t>
      </w:r>
    </w:p>
    <w:p w14:paraId="2E26E23F" w14:textId="77777777" w:rsidR="00841218" w:rsidRDefault="00841218" w:rsidP="00841218">
      <w:pPr>
        <w:pStyle w:val="ListParagraph"/>
        <w:numPr>
          <w:ilvl w:val="0"/>
          <w:numId w:val="3"/>
        </w:numPr>
      </w:pPr>
      <w:r>
        <w:t xml:space="preserve">製品に基づいて、市場は消耗品、サービス、ソフトウェアに分割されます。 </w:t>
      </w:r>
    </w:p>
    <w:p w14:paraId="5427C6A3" w14:textId="14FC4D1C" w:rsidR="00841218" w:rsidRDefault="00841218" w:rsidP="00841218">
      <w:pPr>
        <w:pStyle w:val="ListParagraph"/>
        <w:numPr>
          <w:ilvl w:val="0"/>
          <w:numId w:val="3"/>
        </w:numPr>
      </w:pPr>
      <w:r>
        <w:t xml:space="preserve">タイプに基づいて、市場は安全性バイオマーカー、有効性バイオマーカー、検証バイオマーカーに分割されます。 </w:t>
      </w:r>
    </w:p>
    <w:p w14:paraId="4DC7C5F6" w14:textId="77777777" w:rsidR="00841218" w:rsidRDefault="00841218" w:rsidP="00841218">
      <w:pPr>
        <w:pStyle w:val="ListParagraph"/>
        <w:numPr>
          <w:ilvl w:val="0"/>
          <w:numId w:val="3"/>
        </w:numPr>
      </w:pPr>
      <w:r>
        <w:lastRenderedPageBreak/>
        <w:t xml:space="preserve">研究分野に基づいて、市場はゲノミクス、プロテオミクス、メタボロミクス、その他の研究分野に分割されます。 </w:t>
      </w:r>
    </w:p>
    <w:p w14:paraId="678D3FEE" w14:textId="77777777" w:rsidR="00841218" w:rsidRDefault="00841218" w:rsidP="00841218">
      <w:pPr>
        <w:pStyle w:val="ListParagraph"/>
        <w:numPr>
          <w:ilvl w:val="0"/>
          <w:numId w:val="3"/>
        </w:numPr>
      </w:pPr>
      <w:r>
        <w:t xml:space="preserve">技術に基づいて、市場はイムノアッセイ、NGS、PCR、質量分析、クロマトグラフィー、およびその他の技術に分割されます。 </w:t>
      </w:r>
    </w:p>
    <w:p w14:paraId="4AA7ADDF" w14:textId="77777777" w:rsidR="00841218" w:rsidRDefault="00841218" w:rsidP="00841218">
      <w:pPr>
        <w:pStyle w:val="ListParagraph"/>
        <w:numPr>
          <w:ilvl w:val="0"/>
          <w:numId w:val="3"/>
        </w:numPr>
      </w:pPr>
      <w:r>
        <w:t xml:space="preserve">疾患の適応症に基づいて、市場は癌、感染症、免疫障害、神経障害、心血管障害、およびその他の疾患の適応症に分割されます。 </w:t>
      </w:r>
    </w:p>
    <w:p w14:paraId="5379F11E" w14:textId="77777777" w:rsidR="00841218" w:rsidRDefault="00841218" w:rsidP="00841218">
      <w:pPr>
        <w:pStyle w:val="ListParagraph"/>
        <w:numPr>
          <w:ilvl w:val="0"/>
          <w:numId w:val="3"/>
        </w:numPr>
      </w:pPr>
      <w:r>
        <w:t xml:space="preserve">アプリケーションに基づいて、市場は臨床診断、創薬および開発、個別化医療、臨床研究、およびその他のアプリケーションに分割されます。 </w:t>
      </w:r>
    </w:p>
    <w:p w14:paraId="661CDF37" w14:textId="77777777" w:rsidR="00841218" w:rsidRDefault="00841218" w:rsidP="00841218">
      <w:pPr>
        <w:pStyle w:val="ListParagraph"/>
        <w:numPr>
          <w:ilvl w:val="0"/>
          <w:numId w:val="3"/>
        </w:numPr>
      </w:pPr>
      <w:r>
        <w:t xml:space="preserve">エンドユーザーに基づいて、市場は製薬およびバイオテクノロジー企業、病院および診断研究所、学術および研究機関、およびその他のエンドユーザーに分割されます。 </w:t>
      </w:r>
    </w:p>
    <w:p w14:paraId="75DF27F5" w14:textId="0823F28E" w:rsidR="00841218" w:rsidRDefault="00841218" w:rsidP="00841218">
      <w:pPr>
        <w:pStyle w:val="ListParagraph"/>
        <w:numPr>
          <w:ilvl w:val="0"/>
          <w:numId w:val="3"/>
        </w:numPr>
      </w:pPr>
      <w:r>
        <w:t>地域に基づいて、市場は北米、ヨーロッパ、アジア太平洋、ラテンアメリカ、中東およびアフリカに分割されます。</w:t>
      </w:r>
    </w:p>
    <w:p w14:paraId="49297B40" w14:textId="77777777" w:rsidR="00841218" w:rsidRPr="00841218" w:rsidRDefault="00841218" w:rsidP="00841218">
      <w:pPr>
        <w:ind w:left="360"/>
        <w:rPr>
          <w:b/>
          <w:bCs/>
        </w:rPr>
      </w:pPr>
      <w:r w:rsidRPr="00841218">
        <w:rPr>
          <w:b/>
          <w:bCs/>
        </w:rPr>
        <w:t>バイオマーカー市場地域別インサイト</w:t>
      </w:r>
    </w:p>
    <w:p w14:paraId="15FEFE86" w14:textId="77777777" w:rsidR="00841218" w:rsidRDefault="00841218" w:rsidP="00841218">
      <w:pPr>
        <w:pStyle w:val="ListParagraph"/>
        <w:numPr>
          <w:ilvl w:val="0"/>
          <w:numId w:val="4"/>
        </w:numPr>
      </w:pPr>
      <w:r>
        <w:t xml:space="preserve">地域別では、北米は過去数年間で市場の最大のシェアを保持しており、高度な医療インフラの普及とさらなる進歩のためのバイオマーカーへの投資の増加により、今後も支配的なシェアを保持すると予想されます。 </w:t>
      </w:r>
    </w:p>
    <w:p w14:paraId="1AD0B71B" w14:textId="77777777" w:rsidR="00841218" w:rsidRDefault="00841218" w:rsidP="00841218">
      <w:pPr>
        <w:pStyle w:val="ListParagraph"/>
        <w:numPr>
          <w:ilvl w:val="0"/>
          <w:numId w:val="4"/>
        </w:numPr>
      </w:pPr>
      <w:r>
        <w:t xml:space="preserve">カナダや米国などの主要国は、より優れた診断研究所、優れた研究施設、強力な医療システムを含む、成熟した十分に発達した医療インフラを保持しています。このインフラストラクチャは、バイオマーカーの広範な研究開発を支援します。 </w:t>
      </w:r>
    </w:p>
    <w:p w14:paraId="431601ED" w14:textId="1DCB4988" w:rsidR="00841218" w:rsidRDefault="00841218" w:rsidP="00841218">
      <w:pPr>
        <w:pStyle w:val="ListParagraph"/>
        <w:numPr>
          <w:ilvl w:val="0"/>
          <w:numId w:val="4"/>
        </w:numPr>
      </w:pPr>
      <w:r>
        <w:t>また、民間部門と公共部門の両方からの多額の投資が、北米の研究開発を推進しています。この地域で事業を展開している大手企業には、Bio-Rad Laboratories, Inc.、</w:t>
      </w:r>
      <w:proofErr w:type="spellStart"/>
      <w:r>
        <w:t>Abbott、Thermo</w:t>
      </w:r>
      <w:proofErr w:type="spellEnd"/>
      <w:r>
        <w:t xml:space="preserve"> Fisher </w:t>
      </w:r>
      <w:proofErr w:type="spellStart"/>
      <w:r>
        <w:t>Scientific、Agilent</w:t>
      </w:r>
      <w:proofErr w:type="spellEnd"/>
      <w:r>
        <w:t xml:space="preserve"> Technologies </w:t>
      </w:r>
      <w:proofErr w:type="spellStart"/>
      <w:r>
        <w:t>Inc.などがあります</w:t>
      </w:r>
      <w:proofErr w:type="spellEnd"/>
      <w:r>
        <w:t>。</w:t>
      </w:r>
    </w:p>
    <w:p w14:paraId="747BA0E6" w14:textId="77777777" w:rsidR="00841218" w:rsidRPr="00841218" w:rsidRDefault="00841218" w:rsidP="00841218">
      <w:pPr>
        <w:ind w:left="720"/>
        <w:rPr>
          <w:b/>
          <w:bCs/>
        </w:rPr>
      </w:pPr>
      <w:r w:rsidRPr="00841218">
        <w:rPr>
          <w:b/>
          <w:bCs/>
        </w:rPr>
        <w:t>バイオマーカー市場のトッププレーヤー</w:t>
      </w:r>
    </w:p>
    <w:p w14:paraId="45D889F8" w14:textId="77777777" w:rsidR="00841218" w:rsidRDefault="00841218" w:rsidP="00841218">
      <w:pPr>
        <w:pStyle w:val="ListParagraph"/>
        <w:numPr>
          <w:ilvl w:val="0"/>
          <w:numId w:val="5"/>
        </w:numPr>
      </w:pPr>
      <w:r>
        <w:t>Hoffmann-La Roche AG(スイス)</w:t>
      </w:r>
    </w:p>
    <w:p w14:paraId="1F31D706" w14:textId="77777777" w:rsidR="00841218" w:rsidRDefault="00841218" w:rsidP="00841218">
      <w:pPr>
        <w:pStyle w:val="ListParagraph"/>
        <w:numPr>
          <w:ilvl w:val="0"/>
          <w:numId w:val="5"/>
        </w:numPr>
      </w:pPr>
      <w:proofErr w:type="spellStart"/>
      <w:r>
        <w:t>Thermo</w:t>
      </w:r>
      <w:proofErr w:type="spellEnd"/>
      <w:r>
        <w:t xml:space="preserve"> Fisher Scientific Inc.(</w:t>
      </w:r>
      <w:proofErr w:type="spellStart"/>
      <w:r>
        <w:t>米国</w:t>
      </w:r>
      <w:proofErr w:type="spellEnd"/>
      <w:r>
        <w:t xml:space="preserve">) </w:t>
      </w:r>
    </w:p>
    <w:p w14:paraId="5612B22F" w14:textId="77777777" w:rsidR="00841218" w:rsidRDefault="00841218" w:rsidP="00841218">
      <w:pPr>
        <w:pStyle w:val="ListParagraph"/>
        <w:numPr>
          <w:ilvl w:val="0"/>
          <w:numId w:val="5"/>
        </w:numPr>
      </w:pPr>
      <w:r>
        <w:t xml:space="preserve">Agilent Technologies, Inc.(米国) </w:t>
      </w:r>
    </w:p>
    <w:p w14:paraId="264A86F9" w14:textId="77777777" w:rsidR="00841218" w:rsidRDefault="00841218" w:rsidP="00841218">
      <w:pPr>
        <w:pStyle w:val="ListParagraph"/>
        <w:numPr>
          <w:ilvl w:val="0"/>
          <w:numId w:val="5"/>
        </w:numPr>
      </w:pPr>
      <w:r>
        <w:t xml:space="preserve">QIAGEN N.V. (オランダ) </w:t>
      </w:r>
    </w:p>
    <w:p w14:paraId="1428C664" w14:textId="77777777" w:rsidR="00841218" w:rsidRDefault="00841218" w:rsidP="00841218">
      <w:pPr>
        <w:pStyle w:val="ListParagraph"/>
        <w:numPr>
          <w:ilvl w:val="0"/>
          <w:numId w:val="5"/>
        </w:numPr>
      </w:pPr>
      <w:r>
        <w:t xml:space="preserve">Bio-Rad Laboratories, Inc. (米国) </w:t>
      </w:r>
    </w:p>
    <w:p w14:paraId="7B4FAC30" w14:textId="77777777" w:rsidR="00841218" w:rsidRDefault="00841218" w:rsidP="00841218">
      <w:pPr>
        <w:pStyle w:val="ListParagraph"/>
        <w:numPr>
          <w:ilvl w:val="0"/>
          <w:numId w:val="5"/>
        </w:numPr>
      </w:pPr>
      <w:r>
        <w:t xml:space="preserve">Merck &amp; Co., Inc. (米国) </w:t>
      </w:r>
    </w:p>
    <w:p w14:paraId="3A8DA0AE" w14:textId="77777777" w:rsidR="00841218" w:rsidRDefault="00841218" w:rsidP="00841218">
      <w:pPr>
        <w:pStyle w:val="ListParagraph"/>
        <w:numPr>
          <w:ilvl w:val="0"/>
          <w:numId w:val="5"/>
        </w:numPr>
      </w:pPr>
      <w:r>
        <w:t xml:space="preserve">PerkinElmer, Inc. (アメリカ合衆国) </w:t>
      </w:r>
    </w:p>
    <w:p w14:paraId="6659F4C5" w14:textId="77777777" w:rsidR="00841218" w:rsidRDefault="00841218" w:rsidP="00841218">
      <w:pPr>
        <w:pStyle w:val="ListParagraph"/>
        <w:numPr>
          <w:ilvl w:val="0"/>
          <w:numId w:val="5"/>
        </w:numPr>
      </w:pPr>
      <w:r>
        <w:t xml:space="preserve">Illumina, Inc.(米国) </w:t>
      </w:r>
    </w:p>
    <w:p w14:paraId="2410274C" w14:textId="77777777" w:rsidR="00841218" w:rsidRDefault="00841218" w:rsidP="00841218">
      <w:pPr>
        <w:pStyle w:val="ListParagraph"/>
        <w:numPr>
          <w:ilvl w:val="0"/>
          <w:numId w:val="5"/>
        </w:numPr>
      </w:pPr>
      <w:r>
        <w:lastRenderedPageBreak/>
        <w:t xml:space="preserve">BD (Becton, Dickinson and Company) (米国) </w:t>
      </w:r>
    </w:p>
    <w:p w14:paraId="1AC06082" w14:textId="77777777" w:rsidR="00841218" w:rsidRDefault="00841218" w:rsidP="00841218">
      <w:pPr>
        <w:pStyle w:val="ListParagraph"/>
        <w:numPr>
          <w:ilvl w:val="0"/>
          <w:numId w:val="5"/>
        </w:numPr>
      </w:pPr>
      <w:r>
        <w:t xml:space="preserve">Myriad Genetics, Inc.(米国) </w:t>
      </w:r>
    </w:p>
    <w:p w14:paraId="61432328" w14:textId="77777777" w:rsidR="00841218" w:rsidRDefault="00841218" w:rsidP="00841218">
      <w:pPr>
        <w:pStyle w:val="ListParagraph"/>
        <w:numPr>
          <w:ilvl w:val="0"/>
          <w:numId w:val="5"/>
        </w:numPr>
      </w:pPr>
      <w:r>
        <w:t xml:space="preserve">Siemens Healthineers AG(ドイツ) </w:t>
      </w:r>
    </w:p>
    <w:p w14:paraId="67A89DC1" w14:textId="77777777" w:rsidR="00841218" w:rsidRDefault="00841218" w:rsidP="00841218">
      <w:pPr>
        <w:pStyle w:val="ListParagraph"/>
        <w:numPr>
          <w:ilvl w:val="0"/>
          <w:numId w:val="5"/>
        </w:numPr>
      </w:pPr>
      <w:r>
        <w:t xml:space="preserve">ダナハーコーポレーション(米国) </w:t>
      </w:r>
    </w:p>
    <w:p w14:paraId="4AB8E85A" w14:textId="77777777" w:rsidR="00841218" w:rsidRDefault="00841218" w:rsidP="00841218">
      <w:pPr>
        <w:pStyle w:val="ListParagraph"/>
        <w:numPr>
          <w:ilvl w:val="0"/>
          <w:numId w:val="5"/>
        </w:numPr>
      </w:pPr>
      <w:proofErr w:type="spellStart"/>
      <w:r>
        <w:t>Biomerieux</w:t>
      </w:r>
      <w:proofErr w:type="spellEnd"/>
      <w:r>
        <w:t xml:space="preserve"> SA(</w:t>
      </w:r>
      <w:proofErr w:type="spellStart"/>
      <w:r>
        <w:t>フランス</w:t>
      </w:r>
      <w:proofErr w:type="spellEnd"/>
      <w:r>
        <w:t xml:space="preserve">) </w:t>
      </w:r>
    </w:p>
    <w:p w14:paraId="32B6AC79" w14:textId="77777777" w:rsidR="00841218" w:rsidRDefault="00841218" w:rsidP="00841218">
      <w:pPr>
        <w:pStyle w:val="ListParagraph"/>
        <w:numPr>
          <w:ilvl w:val="0"/>
          <w:numId w:val="5"/>
        </w:numPr>
      </w:pPr>
      <w:r>
        <w:t xml:space="preserve">Waters Corporation (米国) </w:t>
      </w:r>
    </w:p>
    <w:p w14:paraId="25036764" w14:textId="77777777" w:rsidR="00841218" w:rsidRDefault="00841218" w:rsidP="00841218">
      <w:pPr>
        <w:pStyle w:val="ListParagraph"/>
        <w:numPr>
          <w:ilvl w:val="0"/>
          <w:numId w:val="5"/>
        </w:numPr>
      </w:pPr>
      <w:r>
        <w:t xml:space="preserve">Abbott Laboratories (米国) </w:t>
      </w:r>
    </w:p>
    <w:p w14:paraId="0EA21B1B" w14:textId="77777777" w:rsidR="00841218" w:rsidRDefault="00841218" w:rsidP="00841218">
      <w:pPr>
        <w:pStyle w:val="ListParagraph"/>
        <w:numPr>
          <w:ilvl w:val="0"/>
          <w:numId w:val="5"/>
        </w:numPr>
      </w:pPr>
      <w:r>
        <w:t xml:space="preserve">シスメックス株式会社(日本) </w:t>
      </w:r>
    </w:p>
    <w:p w14:paraId="7BF6A1FD" w14:textId="77777777" w:rsidR="00841218" w:rsidRDefault="00841218" w:rsidP="00841218">
      <w:pPr>
        <w:pStyle w:val="ListParagraph"/>
        <w:numPr>
          <w:ilvl w:val="0"/>
          <w:numId w:val="5"/>
        </w:numPr>
      </w:pPr>
      <w:r>
        <w:t xml:space="preserve">Bio-Techne Corporation (アメリカ) </w:t>
      </w:r>
    </w:p>
    <w:p w14:paraId="3FB1562E" w14:textId="77777777" w:rsidR="00841218" w:rsidRDefault="00841218" w:rsidP="00841218">
      <w:pPr>
        <w:pStyle w:val="ListParagraph"/>
        <w:numPr>
          <w:ilvl w:val="0"/>
          <w:numId w:val="5"/>
        </w:numPr>
      </w:pPr>
      <w:r>
        <w:t xml:space="preserve">Charles River Laboratories International, Inc.(米国) </w:t>
      </w:r>
    </w:p>
    <w:p w14:paraId="1E1C8AAE" w14:textId="1143F283" w:rsidR="00841218" w:rsidRDefault="00841218" w:rsidP="00841218">
      <w:pPr>
        <w:pStyle w:val="ListParagraph"/>
        <w:numPr>
          <w:ilvl w:val="0"/>
          <w:numId w:val="5"/>
        </w:numPr>
      </w:pPr>
      <w:r>
        <w:t>Eurofins Scientific SE (ルクセンブルク)</w:t>
      </w:r>
    </w:p>
    <w:p w14:paraId="3B8DDAD6" w14:textId="77777777" w:rsidR="00841218" w:rsidRPr="00841218" w:rsidRDefault="00841218" w:rsidP="00841218">
      <w:pPr>
        <w:rPr>
          <w:b/>
          <w:bCs/>
        </w:rPr>
      </w:pPr>
      <w:r w:rsidRPr="00841218">
        <w:rPr>
          <w:b/>
          <w:bCs/>
        </w:rPr>
        <w:t>最近の動向</w:t>
      </w:r>
    </w:p>
    <w:p w14:paraId="4C111497" w14:textId="77777777" w:rsidR="00841218" w:rsidRDefault="00841218" w:rsidP="00841218">
      <w:pPr>
        <w:pStyle w:val="ListParagraph"/>
        <w:numPr>
          <w:ilvl w:val="0"/>
          <w:numId w:val="6"/>
        </w:numPr>
      </w:pPr>
      <w:r>
        <w:t xml:space="preserve">2024年4月、アボットは、「脳震盪」とも呼ばれる軽度のTBI(外傷性脳損傷)が疑われる患者を検査するためのi-STAT </w:t>
      </w:r>
      <w:proofErr w:type="spellStart"/>
      <w:r>
        <w:t>TBIカートリッジ検査についてFDAの認可を受けたと発表しました</w:t>
      </w:r>
      <w:proofErr w:type="spellEnd"/>
      <w:r>
        <w:t>。</w:t>
      </w:r>
    </w:p>
    <w:p w14:paraId="464FBE52" w14:textId="77777777" w:rsidR="00841218" w:rsidRDefault="00841218" w:rsidP="00841218">
      <w:pPr>
        <w:pStyle w:val="ListParagraph"/>
        <w:numPr>
          <w:ilvl w:val="0"/>
          <w:numId w:val="6"/>
        </w:numPr>
      </w:pPr>
      <w:r>
        <w:t>2024年7月、サーモフィッシャーサイエンティフィックは、痛みのない尿サンプルの採取と検査を可能にし、24時間以内に結果を得ることができる新しいCXCL10検査サービスを開始しました。これにより、既存の技術よりも迅速にデータを得ることができます。</w:t>
      </w:r>
    </w:p>
    <w:p w14:paraId="51C55D6A" w14:textId="7C4524FB" w:rsidR="00841218" w:rsidRDefault="00841218" w:rsidP="00841218">
      <w:pPr>
        <w:pStyle w:val="ListParagraph"/>
        <w:numPr>
          <w:ilvl w:val="0"/>
          <w:numId w:val="6"/>
        </w:numPr>
      </w:pPr>
      <w:r>
        <w:t xml:space="preserve">2024年4月、バイオ・ラッド・ラボラトリーズ社は、同社初の超高感度マルチプレックスデジタルPCR(ポリメラーゼ連鎖反応)アッセイであるddPLEX ESR1変異検出キットを発表しました。このアッセイは、がん市場向けのDroplet Digital </w:t>
      </w:r>
      <w:proofErr w:type="spellStart"/>
      <w:r>
        <w:t>PCRの提供を拡大し、このようなアッセイは治療法の選択、トランスレーショナルリサーチ、および疾患モニタリングに役立ちます</w:t>
      </w:r>
      <w:proofErr w:type="spellEnd"/>
      <w:r>
        <w:t>。</w:t>
      </w:r>
    </w:p>
    <w:p w14:paraId="5FC63FD4" w14:textId="295E069A" w:rsidR="00841218" w:rsidRPr="00841218" w:rsidRDefault="00841218" w:rsidP="00841218">
      <w:r w:rsidRPr="00841218">
        <w:t xml:space="preserve">レポート全文は、次のWebサイトにアクセスしてください </w:t>
      </w:r>
      <w:hyperlink r:id="rId6" w:history="1">
        <w:r w:rsidRPr="00841218">
          <w:rPr>
            <w:rStyle w:val="Hyperlink"/>
          </w:rPr>
          <w:t>https://www.skyquestt.com/report/biomarkers-market</w:t>
        </w:r>
      </w:hyperlink>
      <w:r w:rsidRPr="00841218">
        <w:t xml:space="preserve"> </w:t>
      </w:r>
    </w:p>
    <w:p w14:paraId="47B21E01" w14:textId="7994E29B" w:rsidR="00841218" w:rsidRPr="00841218" w:rsidRDefault="00841218" w:rsidP="00841218">
      <w:pPr>
        <w:rPr>
          <w:b/>
          <w:bCs/>
        </w:rPr>
      </w:pPr>
      <w:r w:rsidRPr="00841218">
        <w:rPr>
          <w:b/>
          <w:bCs/>
        </w:rPr>
        <w:t>今後の見通し</w:t>
      </w:r>
    </w:p>
    <w:p w14:paraId="2FB42E37" w14:textId="1735F1AB" w:rsidR="00841218" w:rsidRDefault="00841218" w:rsidP="00841218">
      <w:r>
        <w:t>バイオマーカー市場の未来は、技術の継続的な進歩と個別化医療への注目の高まりにより、有望に見えます。バイオマーカー研究における人工知能と機械学習の統合により、診断精度と治療結果の向上が期待されます。早期かつ正確な疾患検出に対する需要が高まる中、バイオマーカー市場は持続的な拡大を遂げ、ヘルスケアの診断と治療の状況を一変させる態勢を整えています。</w:t>
      </w:r>
    </w:p>
    <w:p w14:paraId="1CCCABEC" w14:textId="7B34479C" w:rsidR="00841218" w:rsidRDefault="00841218" w:rsidP="00841218">
      <w:pPr>
        <w:rPr>
          <w:b/>
          <w:bCs/>
        </w:rPr>
      </w:pPr>
      <w:r w:rsidRPr="00841218">
        <w:rPr>
          <w:b/>
          <w:bCs/>
        </w:rPr>
        <w:t>また読む</w:t>
      </w:r>
    </w:p>
    <w:p w14:paraId="58A339E0" w14:textId="1451538A" w:rsidR="003B7211" w:rsidRPr="003B7211" w:rsidRDefault="003B7211" w:rsidP="003B7211">
      <w:pPr>
        <w:rPr>
          <w:rFonts w:ascii="Calibri" w:eastAsia="Times New Roman" w:hAnsi="Calibri" w:cs="Calibri"/>
          <w:color w:val="000000"/>
          <w:kern w:val="0"/>
          <w:sz w:val="22"/>
          <w:szCs w:val="22"/>
          <w14:ligatures w14:val="none"/>
        </w:rPr>
      </w:pPr>
      <w:r w:rsidRPr="003B7211">
        <w:rPr>
          <w:b/>
          <w:bCs/>
        </w:rPr>
        <w:lastRenderedPageBreak/>
        <w:t xml:space="preserve">デジタルヘルス市場 - </w:t>
      </w:r>
      <w:hyperlink r:id="rId7" w:history="1">
        <w:r w:rsidRPr="000D35AA">
          <w:rPr>
            <w:rStyle w:val="Hyperlink"/>
            <w:rFonts w:ascii="Calibri" w:eastAsia="Times New Roman" w:hAnsi="Calibri" w:cs="Calibri"/>
            <w:kern w:val="0"/>
            <w:sz w:val="22"/>
            <w:szCs w:val="22"/>
            <w14:ligatures w14:val="none"/>
          </w:rPr>
          <w:t>https://insightdigits.exblog.jp/243641349/</w:t>
        </w:r>
      </w:hyperlink>
      <w:r>
        <w:rPr>
          <w:rFonts w:ascii="Calibri" w:eastAsia="Times New Roman" w:hAnsi="Calibri" w:cs="Calibri"/>
          <w:color w:val="000000"/>
          <w:kern w:val="0"/>
          <w:sz w:val="22"/>
          <w:szCs w:val="22"/>
          <w14:ligatures w14:val="none"/>
        </w:rPr>
        <w:t xml:space="preserve"> </w:t>
      </w:r>
    </w:p>
    <w:p w14:paraId="065CB288" w14:textId="3D175BB8" w:rsidR="003B7211" w:rsidRPr="003B7211" w:rsidRDefault="003B7211" w:rsidP="003B7211">
      <w:pPr>
        <w:rPr>
          <w:rFonts w:ascii="Calibri" w:eastAsia="Times New Roman" w:hAnsi="Calibri" w:cs="Calibri"/>
          <w:color w:val="000000"/>
          <w:kern w:val="0"/>
          <w:sz w:val="22"/>
          <w:szCs w:val="22"/>
          <w14:ligatures w14:val="none"/>
        </w:rPr>
      </w:pPr>
      <w:r w:rsidRPr="003B7211">
        <w:rPr>
          <w:b/>
          <w:bCs/>
        </w:rPr>
        <w:t xml:space="preserve">遠隔医療市場 - </w:t>
      </w:r>
      <w:hyperlink r:id="rId8" w:history="1">
        <w:r w:rsidRPr="000D35AA">
          <w:rPr>
            <w:rStyle w:val="Hyperlink"/>
            <w:rFonts w:ascii="Calibri" w:eastAsia="Times New Roman" w:hAnsi="Calibri" w:cs="Calibri"/>
            <w:kern w:val="0"/>
            <w:sz w:val="22"/>
            <w:szCs w:val="22"/>
            <w14:ligatures w14:val="none"/>
          </w:rPr>
          <w:t>https://medium.com/@kathan.trivedi/telemedicine-market-transforming-healthcare-with-remote-consultations-and-ai-driven-virtual-care-39d93010fe2b</w:t>
        </w:r>
      </w:hyperlink>
      <w:r>
        <w:rPr>
          <w:rFonts w:ascii="Calibri" w:eastAsia="Times New Roman" w:hAnsi="Calibri" w:cs="Calibri"/>
          <w:color w:val="000000"/>
          <w:kern w:val="0"/>
          <w:sz w:val="22"/>
          <w:szCs w:val="22"/>
          <w14:ligatures w14:val="none"/>
        </w:rPr>
        <w:t xml:space="preserve"> </w:t>
      </w:r>
    </w:p>
    <w:p w14:paraId="59F6E857" w14:textId="1CE3A430" w:rsidR="00841218" w:rsidRPr="00841218" w:rsidRDefault="003B7211" w:rsidP="003B7211">
      <w:pPr>
        <w:rPr>
          <w:b/>
          <w:bCs/>
        </w:rPr>
      </w:pPr>
      <w:r>
        <w:rPr>
          <w:b/>
          <w:bCs/>
        </w:rPr>
        <w:t xml:space="preserve"> </w:t>
      </w:r>
    </w:p>
    <w:p w14:paraId="2BDC9989" w14:textId="77777777" w:rsidR="00841218" w:rsidRDefault="00841218" w:rsidP="00841218"/>
    <w:p w14:paraId="0B8B49A4" w14:textId="2F21214B" w:rsidR="00841218" w:rsidRDefault="00841218" w:rsidP="00841218"/>
    <w:sectPr w:rsidR="00841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3028"/>
    <w:multiLevelType w:val="hybridMultilevel"/>
    <w:tmpl w:val="5A7E0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8F6DA3"/>
    <w:multiLevelType w:val="hybridMultilevel"/>
    <w:tmpl w:val="9B64F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35E3D"/>
    <w:multiLevelType w:val="multilevel"/>
    <w:tmpl w:val="2206BABE"/>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3" w15:restartNumberingAfterBreak="0">
    <w:nsid w:val="3C942CBD"/>
    <w:multiLevelType w:val="hybridMultilevel"/>
    <w:tmpl w:val="F4C4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F02661"/>
    <w:multiLevelType w:val="hybridMultilevel"/>
    <w:tmpl w:val="332C700E"/>
    <w:lvl w:ilvl="0" w:tplc="0409000F">
      <w:start w:val="1"/>
      <w:numFmt w:val="chineseCounting"/>
      <w:lvlText w:val="%1."/>
      <w:lvlJc w:val="left"/>
      <w:pPr>
        <w:ind w:left="720" w:hanging="360"/>
      </w:pPr>
    </w:lvl>
    <w:lvl w:ilvl="1" w:tplc="04090019" w:tentative="1">
      <w:start w:val="1"/>
      <w:numFmt w:val="chineseCounting"/>
      <w:lvlText w:val="%2."/>
      <w:lvlJc w:val="left"/>
      <w:pPr>
        <w:ind w:left="1440" w:hanging="360"/>
      </w:pPr>
    </w:lvl>
    <w:lvl w:ilvl="2" w:tplc="0409001B" w:tentative="1">
      <w:start w:val="1"/>
      <w:numFmt w:val="chineseCounting"/>
      <w:lvlText w:val="%3."/>
      <w:lvlJc w:val="right"/>
      <w:pPr>
        <w:ind w:left="2160" w:hanging="180"/>
      </w:pPr>
    </w:lvl>
    <w:lvl w:ilvl="3" w:tplc="0409000F" w:tentative="1">
      <w:start w:val="1"/>
      <w:numFmt w:val="chineseCounting"/>
      <w:lvlText w:val="%4."/>
      <w:lvlJc w:val="left"/>
      <w:pPr>
        <w:ind w:left="2880" w:hanging="360"/>
      </w:pPr>
    </w:lvl>
    <w:lvl w:ilvl="4" w:tplc="04090019" w:tentative="1">
      <w:start w:val="1"/>
      <w:numFmt w:val="chineseCounting"/>
      <w:lvlText w:val="%5."/>
      <w:lvlJc w:val="left"/>
      <w:pPr>
        <w:ind w:left="3600" w:hanging="360"/>
      </w:pPr>
    </w:lvl>
    <w:lvl w:ilvl="5" w:tplc="0409001B" w:tentative="1">
      <w:start w:val="1"/>
      <w:numFmt w:val="chineseCounting"/>
      <w:lvlText w:val="%6."/>
      <w:lvlJc w:val="right"/>
      <w:pPr>
        <w:ind w:left="4320" w:hanging="180"/>
      </w:pPr>
    </w:lvl>
    <w:lvl w:ilvl="6" w:tplc="0409000F" w:tentative="1">
      <w:start w:val="1"/>
      <w:numFmt w:val="chineseCounting"/>
      <w:lvlText w:val="%7."/>
      <w:lvlJc w:val="left"/>
      <w:pPr>
        <w:ind w:left="5040" w:hanging="360"/>
      </w:pPr>
    </w:lvl>
    <w:lvl w:ilvl="7" w:tplc="04090019" w:tentative="1">
      <w:start w:val="1"/>
      <w:numFmt w:val="chineseCounting"/>
      <w:lvlText w:val="%8."/>
      <w:lvlJc w:val="left"/>
      <w:pPr>
        <w:ind w:left="5760" w:hanging="360"/>
      </w:pPr>
    </w:lvl>
    <w:lvl w:ilvl="8" w:tplc="0409001B" w:tentative="1">
      <w:start w:val="1"/>
      <w:numFmt w:val="chineseCounting"/>
      <w:lvlText w:val="%9."/>
      <w:lvlJc w:val="right"/>
      <w:pPr>
        <w:ind w:left="6480" w:hanging="180"/>
      </w:pPr>
    </w:lvl>
  </w:abstractNum>
  <w:abstractNum w:abstractNumId="5" w15:restartNumberingAfterBreak="0">
    <w:nsid w:val="7C4523FC"/>
    <w:multiLevelType w:val="hybridMultilevel"/>
    <w:tmpl w:val="AEE88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42508935">
    <w:abstractNumId w:val="2"/>
  </w:num>
  <w:num w:numId="2" w16cid:durableId="1213880867">
    <w:abstractNumId w:val="1"/>
  </w:num>
  <w:num w:numId="3" w16cid:durableId="818962493">
    <w:abstractNumId w:val="4"/>
  </w:num>
  <w:num w:numId="4" w16cid:durableId="2075929045">
    <w:abstractNumId w:val="5"/>
  </w:num>
  <w:num w:numId="5" w16cid:durableId="1494908709">
    <w:abstractNumId w:val="0"/>
  </w:num>
  <w:num w:numId="6" w16cid:durableId="1969050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18"/>
    <w:rsid w:val="001D01DB"/>
    <w:rsid w:val="00274CDA"/>
    <w:rsid w:val="003B7211"/>
    <w:rsid w:val="004D40C5"/>
    <w:rsid w:val="00841218"/>
    <w:rsid w:val="00B354D8"/>
    <w:rsid w:val="00BB68BD"/>
    <w:rsid w:val="00C15B33"/>
    <w:rsid w:val="00E96553"/>
    <w:rsid w:val="00FB486F"/>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EB46C"/>
  <w15:chartTrackingRefBased/>
  <w15:docId w15:val="{24F263F2-F598-4F6B-95FD-ADC04CC3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2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12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12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12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12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12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2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2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2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2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12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12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12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12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1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218"/>
    <w:rPr>
      <w:rFonts w:eastAsiaTheme="majorEastAsia" w:cstheme="majorBidi"/>
      <w:color w:val="272727" w:themeColor="text1" w:themeTint="D8"/>
    </w:rPr>
  </w:style>
  <w:style w:type="paragraph" w:styleId="Title">
    <w:name w:val="Title"/>
    <w:basedOn w:val="Normal"/>
    <w:next w:val="Normal"/>
    <w:link w:val="TitleChar"/>
    <w:uiPriority w:val="10"/>
    <w:qFormat/>
    <w:rsid w:val="00841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2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218"/>
    <w:pPr>
      <w:spacing w:before="160"/>
      <w:jc w:val="center"/>
    </w:pPr>
    <w:rPr>
      <w:i/>
      <w:iCs/>
      <w:color w:val="404040" w:themeColor="text1" w:themeTint="BF"/>
    </w:rPr>
  </w:style>
  <w:style w:type="character" w:customStyle="1" w:styleId="QuoteChar">
    <w:name w:val="Quote Char"/>
    <w:basedOn w:val="DefaultParagraphFont"/>
    <w:link w:val="Quote"/>
    <w:uiPriority w:val="29"/>
    <w:rsid w:val="00841218"/>
    <w:rPr>
      <w:i/>
      <w:iCs/>
      <w:color w:val="404040" w:themeColor="text1" w:themeTint="BF"/>
    </w:rPr>
  </w:style>
  <w:style w:type="paragraph" w:styleId="ListParagraph">
    <w:name w:val="List Paragraph"/>
    <w:basedOn w:val="Normal"/>
    <w:uiPriority w:val="34"/>
    <w:qFormat/>
    <w:rsid w:val="00841218"/>
    <w:pPr>
      <w:ind w:left="720"/>
      <w:contextualSpacing/>
    </w:pPr>
  </w:style>
  <w:style w:type="character" w:styleId="IntenseEmphasis">
    <w:name w:val="Intense Emphasis"/>
    <w:basedOn w:val="DefaultParagraphFont"/>
    <w:uiPriority w:val="21"/>
    <w:qFormat/>
    <w:rsid w:val="00841218"/>
    <w:rPr>
      <w:i/>
      <w:iCs/>
      <w:color w:val="2F5496" w:themeColor="accent1" w:themeShade="BF"/>
    </w:rPr>
  </w:style>
  <w:style w:type="paragraph" w:styleId="IntenseQuote">
    <w:name w:val="Intense Quote"/>
    <w:basedOn w:val="Normal"/>
    <w:next w:val="Normal"/>
    <w:link w:val="IntenseQuoteChar"/>
    <w:uiPriority w:val="30"/>
    <w:qFormat/>
    <w:rsid w:val="008412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1218"/>
    <w:rPr>
      <w:i/>
      <w:iCs/>
      <w:color w:val="2F5496" w:themeColor="accent1" w:themeShade="BF"/>
    </w:rPr>
  </w:style>
  <w:style w:type="character" w:styleId="IntenseReference">
    <w:name w:val="Intense Reference"/>
    <w:basedOn w:val="DefaultParagraphFont"/>
    <w:uiPriority w:val="32"/>
    <w:qFormat/>
    <w:rsid w:val="00841218"/>
    <w:rPr>
      <w:b/>
      <w:bCs/>
      <w:smallCaps/>
      <w:color w:val="2F5496" w:themeColor="accent1" w:themeShade="BF"/>
      <w:spacing w:val="5"/>
    </w:rPr>
  </w:style>
  <w:style w:type="character" w:styleId="Hyperlink">
    <w:name w:val="Hyperlink"/>
    <w:basedOn w:val="DefaultParagraphFont"/>
    <w:uiPriority w:val="99"/>
    <w:unhideWhenUsed/>
    <w:rsid w:val="00841218"/>
    <w:rPr>
      <w:color w:val="0563C1" w:themeColor="hyperlink"/>
      <w:u w:val="single"/>
    </w:rPr>
  </w:style>
  <w:style w:type="character" w:styleId="UnresolvedMention">
    <w:name w:val="Unresolved Mention"/>
    <w:basedOn w:val="DefaultParagraphFont"/>
    <w:uiPriority w:val="99"/>
    <w:semiHidden/>
    <w:unhideWhenUsed/>
    <w:rsid w:val="00841218"/>
    <w:rPr>
      <w:color w:val="605E5C"/>
      <w:shd w:val="clear" w:color="auto" w:fill="E1DFDD"/>
    </w:rPr>
  </w:style>
  <w:style w:type="character" w:styleId="PlaceholderText">
    <w:name w:val="Placeholder Text"/>
    <w:basedOn w:val="DefaultParagraphFont"/>
    <w:uiPriority w:val="99"/>
    <w:semiHidden/>
    <w:rsid w:val="00E965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968">
      <w:bodyDiv w:val="1"/>
      <w:marLeft w:val="0"/>
      <w:marRight w:val="0"/>
      <w:marTop w:val="0"/>
      <w:marBottom w:val="0"/>
      <w:divBdr>
        <w:top w:val="none" w:sz="0" w:space="0" w:color="auto"/>
        <w:left w:val="none" w:sz="0" w:space="0" w:color="auto"/>
        <w:bottom w:val="none" w:sz="0" w:space="0" w:color="auto"/>
        <w:right w:val="none" w:sz="0" w:space="0" w:color="auto"/>
      </w:divBdr>
    </w:div>
    <w:div w:id="180241423">
      <w:bodyDiv w:val="1"/>
      <w:marLeft w:val="0"/>
      <w:marRight w:val="0"/>
      <w:marTop w:val="0"/>
      <w:marBottom w:val="0"/>
      <w:divBdr>
        <w:top w:val="none" w:sz="0" w:space="0" w:color="auto"/>
        <w:left w:val="none" w:sz="0" w:space="0" w:color="auto"/>
        <w:bottom w:val="none" w:sz="0" w:space="0" w:color="auto"/>
        <w:right w:val="none" w:sz="0" w:space="0" w:color="auto"/>
      </w:divBdr>
    </w:div>
    <w:div w:id="234629632">
      <w:bodyDiv w:val="1"/>
      <w:marLeft w:val="0"/>
      <w:marRight w:val="0"/>
      <w:marTop w:val="0"/>
      <w:marBottom w:val="0"/>
      <w:divBdr>
        <w:top w:val="none" w:sz="0" w:space="0" w:color="auto"/>
        <w:left w:val="none" w:sz="0" w:space="0" w:color="auto"/>
        <w:bottom w:val="none" w:sz="0" w:space="0" w:color="auto"/>
        <w:right w:val="none" w:sz="0" w:space="0" w:color="auto"/>
      </w:divBdr>
    </w:div>
    <w:div w:id="421950755">
      <w:bodyDiv w:val="1"/>
      <w:marLeft w:val="0"/>
      <w:marRight w:val="0"/>
      <w:marTop w:val="0"/>
      <w:marBottom w:val="0"/>
      <w:divBdr>
        <w:top w:val="none" w:sz="0" w:space="0" w:color="auto"/>
        <w:left w:val="none" w:sz="0" w:space="0" w:color="auto"/>
        <w:bottom w:val="none" w:sz="0" w:space="0" w:color="auto"/>
        <w:right w:val="none" w:sz="0" w:space="0" w:color="auto"/>
      </w:divBdr>
    </w:div>
    <w:div w:id="1141076597">
      <w:bodyDiv w:val="1"/>
      <w:marLeft w:val="0"/>
      <w:marRight w:val="0"/>
      <w:marTop w:val="0"/>
      <w:marBottom w:val="0"/>
      <w:divBdr>
        <w:top w:val="none" w:sz="0" w:space="0" w:color="auto"/>
        <w:left w:val="none" w:sz="0" w:space="0" w:color="auto"/>
        <w:bottom w:val="none" w:sz="0" w:space="0" w:color="auto"/>
        <w:right w:val="none" w:sz="0" w:space="0" w:color="auto"/>
      </w:divBdr>
    </w:div>
    <w:div w:id="1447919178">
      <w:bodyDiv w:val="1"/>
      <w:marLeft w:val="0"/>
      <w:marRight w:val="0"/>
      <w:marTop w:val="0"/>
      <w:marBottom w:val="0"/>
      <w:divBdr>
        <w:top w:val="none" w:sz="0" w:space="0" w:color="auto"/>
        <w:left w:val="none" w:sz="0" w:space="0" w:color="auto"/>
        <w:bottom w:val="none" w:sz="0" w:space="0" w:color="auto"/>
        <w:right w:val="none" w:sz="0" w:space="0" w:color="auto"/>
      </w:divBdr>
    </w:div>
    <w:div w:id="1449163813">
      <w:bodyDiv w:val="1"/>
      <w:marLeft w:val="0"/>
      <w:marRight w:val="0"/>
      <w:marTop w:val="0"/>
      <w:marBottom w:val="0"/>
      <w:divBdr>
        <w:top w:val="none" w:sz="0" w:space="0" w:color="auto"/>
        <w:left w:val="none" w:sz="0" w:space="0" w:color="auto"/>
        <w:bottom w:val="none" w:sz="0" w:space="0" w:color="auto"/>
        <w:right w:val="none" w:sz="0" w:space="0" w:color="auto"/>
      </w:divBdr>
    </w:div>
    <w:div w:id="1498569955">
      <w:bodyDiv w:val="1"/>
      <w:marLeft w:val="0"/>
      <w:marRight w:val="0"/>
      <w:marTop w:val="0"/>
      <w:marBottom w:val="0"/>
      <w:divBdr>
        <w:top w:val="none" w:sz="0" w:space="0" w:color="auto"/>
        <w:left w:val="none" w:sz="0" w:space="0" w:color="auto"/>
        <w:bottom w:val="none" w:sz="0" w:space="0" w:color="auto"/>
        <w:right w:val="none" w:sz="0" w:space="0" w:color="auto"/>
      </w:divBdr>
    </w:div>
    <w:div w:id="1816872834">
      <w:bodyDiv w:val="1"/>
      <w:marLeft w:val="0"/>
      <w:marRight w:val="0"/>
      <w:marTop w:val="0"/>
      <w:marBottom w:val="0"/>
      <w:divBdr>
        <w:top w:val="none" w:sz="0" w:space="0" w:color="auto"/>
        <w:left w:val="none" w:sz="0" w:space="0" w:color="auto"/>
        <w:bottom w:val="none" w:sz="0" w:space="0" w:color="auto"/>
        <w:right w:val="none" w:sz="0" w:space="0" w:color="auto"/>
      </w:divBdr>
    </w:div>
    <w:div w:id="1957523787">
      <w:bodyDiv w:val="1"/>
      <w:marLeft w:val="0"/>
      <w:marRight w:val="0"/>
      <w:marTop w:val="0"/>
      <w:marBottom w:val="0"/>
      <w:divBdr>
        <w:top w:val="none" w:sz="0" w:space="0" w:color="auto"/>
        <w:left w:val="none" w:sz="0" w:space="0" w:color="auto"/>
        <w:bottom w:val="none" w:sz="0" w:space="0" w:color="auto"/>
        <w:right w:val="none" w:sz="0" w:space="0" w:color="auto"/>
      </w:divBdr>
    </w:div>
    <w:div w:id="2033721489">
      <w:bodyDiv w:val="1"/>
      <w:marLeft w:val="0"/>
      <w:marRight w:val="0"/>
      <w:marTop w:val="0"/>
      <w:marBottom w:val="0"/>
      <w:divBdr>
        <w:top w:val="none" w:sz="0" w:space="0" w:color="auto"/>
        <w:left w:val="none" w:sz="0" w:space="0" w:color="auto"/>
        <w:bottom w:val="none" w:sz="0" w:space="0" w:color="auto"/>
        <w:right w:val="none" w:sz="0" w:space="0" w:color="auto"/>
      </w:divBdr>
      <w:divsChild>
        <w:div w:id="2104913210">
          <w:marLeft w:val="0"/>
          <w:marRight w:val="0"/>
          <w:marTop w:val="0"/>
          <w:marBottom w:val="0"/>
          <w:divBdr>
            <w:top w:val="none" w:sz="0" w:space="0" w:color="auto"/>
            <w:left w:val="none" w:sz="0" w:space="0" w:color="auto"/>
            <w:bottom w:val="none" w:sz="0" w:space="0" w:color="auto"/>
            <w:right w:val="none" w:sz="0" w:space="0" w:color="auto"/>
          </w:divBdr>
        </w:div>
      </w:divsChild>
    </w:div>
    <w:div w:id="211604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com/@kathan.trivedi/telemedicine-market-transforming-healthcare-with-remote-consultations-and-ai-driven-virtual-care-39d93010fe2b" TargetMode="External"/><Relationship Id="rId3" Type="http://schemas.openxmlformats.org/officeDocument/2006/relationships/settings" Target="settings.xml"/><Relationship Id="rId7" Type="http://schemas.openxmlformats.org/officeDocument/2006/relationships/hyperlink" Target="https://insightdigits.exblog.jp/2436413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biomarkers-market" TargetMode="External"/><Relationship Id="rId5" Type="http://schemas.openxmlformats.org/officeDocument/2006/relationships/hyperlink" Target="https://www.skyquestt.com/sample-request/biomarker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2025-04-02T09:35:00Z</dcterms:created>
  <dcterms:modified xsi:type="dcterms:W3CDTF">2025-04-02T09:51:00Z</dcterms:modified>
</cp:coreProperties>
</file>