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003D3" w14:textId="1B9CABAE" w:rsidR="00A64CDB" w:rsidRPr="00A64CDB" w:rsidRDefault="00A64CDB" w:rsidP="00A64CDB">
      <w:pPr>
        <w:rPr>
          <w:b/>
          <w:bCs/>
        </w:rPr>
      </w:pPr>
      <w:r w:rsidRPr="00A64CDB">
        <w:rPr>
          <w:b/>
          <w:bCs/>
        </w:rPr>
        <w:t>細胞治療市場は、再生医療と個別化医療の進歩の中で、2031年までに398億1000万米ドルに達すると予測されています</w:t>
      </w:r>
    </w:p>
    <w:p w14:paraId="709C720B" w14:textId="03BEF06C" w:rsidR="00A64CDB" w:rsidRDefault="00A64CDB" w:rsidP="00A64CDB">
      <w:r w:rsidRPr="00A64CDB">
        <w:t xml:space="preserve">変性疾患や慢性疾患の発生率の上昇は、細胞治療市場の成長の背後にある主要な推進力であると予測されています。また、様々な疾患を治療するための細胞療法の利用が拡大し、細胞研究に多額の投資を行うことも、将来的には市場プレーヤーに新たな機会をもたらすことが期待されています。また、幹細胞研究の進展や再生医療の需要拡大により、細胞治療医療の新たな事業領域が今後広がることが期待されています。 </w:t>
      </w:r>
    </w:p>
    <w:p w14:paraId="26436D25" w14:textId="15DE1AC6" w:rsidR="00A64CDB" w:rsidRPr="00A64CDB" w:rsidRDefault="00A64CDB" w:rsidP="00A64CDB">
      <w:pPr>
        <w:rPr>
          <w:b/>
          <w:bCs/>
        </w:rPr>
      </w:pPr>
      <w:r w:rsidRPr="00A64CDB">
        <w:rPr>
          <w:b/>
          <w:bCs/>
        </w:rPr>
        <w:t>細胞治療の市場規模は2023年に69億米ドルと評価され、2024年の83億8000万米ドルから2032年までに398億1000万米ドルに成長し、予測期間(2025年から2032年)の間に21.5%のCAGRで成長する態勢を整えています。</w:t>
      </w:r>
    </w:p>
    <w:p w14:paraId="09047A90" w14:textId="2B5A40A2" w:rsidR="00A64CDB" w:rsidRPr="00A64CDB" w:rsidRDefault="00A64CDB" w:rsidP="00A64CDB">
      <w:r w:rsidRPr="00A64CDB">
        <w:t xml:space="preserve">今すぐ無料サンプルレポートを入手: </w:t>
      </w:r>
      <w:hyperlink r:id="rId5" w:history="1">
        <w:r w:rsidRPr="00535F35">
          <w:rPr>
            <w:rStyle w:val="Hyperlink"/>
          </w:rPr>
          <w:t>https://www.skyquestt.com/sample-request/cell-therapy-market</w:t>
        </w:r>
      </w:hyperlink>
      <w:r>
        <w:t xml:space="preserve"> </w:t>
      </w:r>
    </w:p>
    <w:p w14:paraId="7461D169" w14:textId="41A84CF0" w:rsidR="00A64CDB" w:rsidRPr="00A64CDB" w:rsidRDefault="00A64CDB" w:rsidP="00A64CDB">
      <w:pPr>
        <w:rPr>
          <w:b/>
          <w:bCs/>
        </w:rPr>
      </w:pPr>
      <w:r w:rsidRPr="00A64CDB">
        <w:rPr>
          <w:b/>
          <w:bCs/>
        </w:rPr>
        <w:t>細胞治療とは?</w:t>
      </w:r>
    </w:p>
    <w:p w14:paraId="3BE936FB" w14:textId="799BADC0" w:rsidR="00A64CDB" w:rsidRPr="00A64CDB" w:rsidRDefault="00A64CDB" w:rsidP="00A64CDB">
      <w:r w:rsidRPr="00A64CDB">
        <w:t>細胞療法では、疾患を治療したり、生物学的機能を回復させたりするために、患者に生細胞を移植または注入します。これらの細胞は、自家(患者由来)、同種異系(ドナー由来)、または遺伝子工学による改変(CAR-T細胞療法など)の場合があります。その用途は</w:t>
      </w:r>
      <w:r w:rsidRPr="00A64CDB">
        <w:rPr>
          <w:b/>
          <w:bCs/>
        </w:rPr>
        <w:t>、腫瘍学、心血管疾患、自己免疫疾患、神経疾患</w:t>
      </w:r>
      <w:r w:rsidRPr="00A64CDB">
        <w:t>など多岐にわたります。</w:t>
      </w:r>
    </w:p>
    <w:p w14:paraId="7CEF140C" w14:textId="77777777" w:rsidR="00A64CDB" w:rsidRPr="00A64CDB" w:rsidRDefault="00A64CDB" w:rsidP="00A64CDB">
      <w:pPr>
        <w:rPr>
          <w:b/>
          <w:bCs/>
        </w:rPr>
      </w:pPr>
      <w:r w:rsidRPr="00A64CDB">
        <w:rPr>
          <w:b/>
          <w:bCs/>
        </w:rPr>
        <w:t>市場の推進力:成長を後押ししているものは何ですか?</w:t>
      </w:r>
    </w:p>
    <w:p w14:paraId="7AE0FA88" w14:textId="77777777" w:rsidR="00A64CDB" w:rsidRPr="00A64CDB" w:rsidRDefault="00A64CDB" w:rsidP="00A64CDB">
      <w:r w:rsidRPr="00A64CDB">
        <w:rPr>
          <w:b/>
          <w:bCs/>
        </w:rPr>
        <w:t>1.慢性疾患および変性疾患の発生率の上昇:</w:t>
      </w:r>
      <w:r w:rsidRPr="00A64CDB">
        <w:br/>
        <w:t>癌、1型糖尿病、パーキンソン病、心不全などの状態が世界的に増加しています。細胞療法は、特に末期疾患や難治性疾患において、従来の治療法では不十分な場合に希望を提供します。</w:t>
      </w:r>
    </w:p>
    <w:p w14:paraId="23F81C15" w14:textId="77777777" w:rsidR="00A64CDB" w:rsidRPr="00A64CDB" w:rsidRDefault="00A64CDB" w:rsidP="00A64CDB">
      <w:r w:rsidRPr="00A64CDB">
        <w:rPr>
          <w:b/>
          <w:bCs/>
        </w:rPr>
        <w:t>2. 幹細胞および遺伝子編集技術の進歩:</w:t>
      </w:r>
      <w:r w:rsidRPr="00A64CDB">
        <w:br/>
        <w:t>人工多能性幹細胞(iPSC)、CRISPR遺伝子編集、</w:t>
      </w:r>
      <w:r w:rsidRPr="00A64CDB">
        <w:rPr>
          <w:b/>
          <w:bCs/>
        </w:rPr>
        <w:t>および製造スケーラビリティのブレークスルー</w:t>
      </w:r>
      <w:r w:rsidRPr="00A64CDB">
        <w:t>により、細胞治療の安全性、有効性、および商業的実行可能性が向上しています。</w:t>
      </w:r>
    </w:p>
    <w:p w14:paraId="005A2208" w14:textId="77777777" w:rsidR="00A64CDB" w:rsidRPr="00A64CDB" w:rsidRDefault="00A64CDB" w:rsidP="00A64CDB">
      <w:r w:rsidRPr="00A64CDB">
        <w:rPr>
          <w:b/>
          <w:bCs/>
        </w:rPr>
        <w:t>3. 個別化医療と精密医療のトレンド:</w:t>
      </w:r>
      <w:r w:rsidRPr="00A64CDB">
        <w:br/>
        <w:t>個々の遺伝子プロファイルや細胞プロファイルに合わせたカスタマイズされた治療にますます重点が置かれるようになり、CAR TやTCR療法などの自家細胞治療や遺伝子改変細胞療法の需要が高まっています。</w:t>
      </w:r>
    </w:p>
    <w:p w14:paraId="2E9827DF" w14:textId="2BAC0CAD" w:rsidR="00A64CDB" w:rsidRPr="00A64CDB" w:rsidRDefault="00A64CDB" w:rsidP="00A64CDB">
      <w:r w:rsidRPr="00A64CDB">
        <w:rPr>
          <w:b/>
          <w:bCs/>
        </w:rPr>
        <w:lastRenderedPageBreak/>
        <w:t>4. 規制当局による承認と資金提供:</w:t>
      </w:r>
      <w:r w:rsidRPr="00A64CDB">
        <w:br/>
        <w:t>FDA(米国)</w:t>
      </w:r>
      <w:r w:rsidRPr="00A64CDB">
        <w:rPr>
          <w:b/>
          <w:bCs/>
        </w:rPr>
        <w:t>や</w:t>
      </w:r>
      <w:r w:rsidRPr="00A64CDB">
        <w:t>EMA(欧州</w:t>
      </w:r>
      <w:r w:rsidRPr="00A64CDB">
        <w:rPr>
          <w:b/>
          <w:bCs/>
        </w:rPr>
        <w:t>)などの機関による迅速承認の道</w:t>
      </w:r>
      <w:r w:rsidRPr="00A64CDB">
        <w:t>筋が、急速な発展を後押ししています。さらに、政府、VC、製薬大手からの投資の増加がイノベーションを促進しています。</w:t>
      </w:r>
    </w:p>
    <w:p w14:paraId="25E0494A" w14:textId="7665B1B2" w:rsidR="00A64CDB" w:rsidRPr="00A64CDB" w:rsidRDefault="00A64CDB" w:rsidP="00A64CDB">
      <w:r w:rsidRPr="00A64CDB">
        <w:t>カスタマイズされたレポートについては、パーソナライゼーションをリクエストするためにお問い合</w:t>
      </w:r>
      <w:proofErr w:type="gramStart"/>
      <w:r w:rsidRPr="00A64CDB">
        <w:t>わせください:https://www.skyquestt.com/speak-with-analyst/cell-therapy-market</w:t>
      </w:r>
      <w:proofErr w:type="gramEnd"/>
      <w:r w:rsidRPr="00A64CDB">
        <w:t xml:space="preserve"> </w:t>
      </w:r>
      <w:hyperlink r:id="rId6" w:history="1"/>
      <w:r>
        <w:t xml:space="preserve"> </w:t>
      </w:r>
    </w:p>
    <w:p w14:paraId="1E3E69C9" w14:textId="5BC168DA" w:rsidR="00A64CDB" w:rsidRPr="00A64CDB" w:rsidRDefault="00A64CDB" w:rsidP="00A64CDB">
      <w:pPr>
        <w:rPr>
          <w:b/>
          <w:bCs/>
        </w:rPr>
      </w:pPr>
      <w:r w:rsidRPr="00A64CDB">
        <w:rPr>
          <w:b/>
          <w:bCs/>
        </w:rPr>
        <w:t>市場の課題:</w:t>
      </w:r>
    </w:p>
    <w:p w14:paraId="5B6CFA57" w14:textId="77777777" w:rsidR="00A64CDB" w:rsidRPr="00A64CDB" w:rsidRDefault="00A64CDB" w:rsidP="00A64CDB">
      <w:pPr>
        <w:numPr>
          <w:ilvl w:val="0"/>
          <w:numId w:val="1"/>
        </w:numPr>
      </w:pPr>
      <w:r w:rsidRPr="00A64CDB">
        <w:rPr>
          <w:b/>
          <w:bCs/>
        </w:rPr>
        <w:t>高い製造コストと運用コスト:</w:t>
      </w:r>
      <w:r w:rsidRPr="00A64CDB">
        <w:br/>
        <w:t>細胞治療の製造には、複雑なバイオプロセシングと厳格なGMP基準が伴うため、スケーラビリティと費用対効果が大きなハードルとなっています。</w:t>
      </w:r>
    </w:p>
    <w:p w14:paraId="7ECCCFE4" w14:textId="77777777" w:rsidR="00A64CDB" w:rsidRPr="00A64CDB" w:rsidRDefault="00A64CDB" w:rsidP="00A64CDB">
      <w:pPr>
        <w:numPr>
          <w:ilvl w:val="0"/>
          <w:numId w:val="1"/>
        </w:numPr>
      </w:pPr>
      <w:r w:rsidRPr="00A64CDB">
        <w:rPr>
          <w:b/>
          <w:bCs/>
        </w:rPr>
        <w:t>厳格な規制当局による監視:</w:t>
      </w:r>
      <w:r w:rsidRPr="00A64CDB">
        <w:br/>
        <w:t>患者の安全のためには必要ですが、長く複雑な規制当局の承認プロセスは商業化を遅らせる可能性があります。</w:t>
      </w:r>
    </w:p>
    <w:p w14:paraId="2FAA30DD" w14:textId="301B288D" w:rsidR="00A64CDB" w:rsidRPr="00A64CDB" w:rsidRDefault="00A64CDB" w:rsidP="00A64CDB">
      <w:pPr>
        <w:numPr>
          <w:ilvl w:val="0"/>
          <w:numId w:val="1"/>
        </w:numPr>
      </w:pPr>
      <w:r w:rsidRPr="00A64CDB">
        <w:rPr>
          <w:b/>
          <w:bCs/>
        </w:rPr>
        <w:t>物流と保管の複雑さ:</w:t>
      </w:r>
      <w:r w:rsidRPr="00A64CDB">
        <w:br/>
        <w:t>生細胞の輸送と保管には制御された環境が必要であり、追加のインフラストラクチャとコストの課題が生じています。</w:t>
      </w:r>
    </w:p>
    <w:p w14:paraId="2F214E46" w14:textId="77777777" w:rsidR="00A64CDB" w:rsidRPr="00A64CDB" w:rsidRDefault="00A64CDB" w:rsidP="00A64CDB">
      <w:pPr>
        <w:rPr>
          <w:b/>
          <w:bCs/>
        </w:rPr>
      </w:pPr>
      <w:r w:rsidRPr="00A64CDB">
        <w:rPr>
          <w:b/>
          <w:bCs/>
        </w:rPr>
        <w:t>セグメンテーションのハイライト:</w:t>
      </w:r>
    </w:p>
    <w:p w14:paraId="2BC4B1EA" w14:textId="77777777" w:rsidR="00A64CDB" w:rsidRPr="00A64CDB" w:rsidRDefault="00A64CDB" w:rsidP="00A64CDB">
      <w:pPr>
        <w:numPr>
          <w:ilvl w:val="0"/>
          <w:numId w:val="2"/>
        </w:numPr>
      </w:pPr>
      <w:r w:rsidRPr="00A64CDB">
        <w:rPr>
          <w:b/>
          <w:bCs/>
        </w:rPr>
        <w:t>治療タイプ別:</w:t>
      </w:r>
      <w:r w:rsidRPr="00A64CDB">
        <w:t xml:space="preserve"> 自家および同種異系</w:t>
      </w:r>
    </w:p>
    <w:p w14:paraId="33EA39B9" w14:textId="77777777" w:rsidR="00A64CDB" w:rsidRPr="00A64CDB" w:rsidRDefault="00A64CDB" w:rsidP="00A64CDB">
      <w:pPr>
        <w:numPr>
          <w:ilvl w:val="0"/>
          <w:numId w:val="2"/>
        </w:numPr>
      </w:pPr>
      <w:r w:rsidRPr="00A64CDB">
        <w:rPr>
          <w:b/>
          <w:bCs/>
        </w:rPr>
        <w:t>細胞タイプ別:</w:t>
      </w:r>
      <w:r w:rsidRPr="00A64CDB">
        <w:t xml:space="preserve"> 幹細胞、T細胞、NK細胞、樹状細胞</w:t>
      </w:r>
    </w:p>
    <w:p w14:paraId="3BB52E45" w14:textId="77777777" w:rsidR="00A64CDB" w:rsidRPr="00A64CDB" w:rsidRDefault="00A64CDB" w:rsidP="00A64CDB">
      <w:pPr>
        <w:numPr>
          <w:ilvl w:val="0"/>
          <w:numId w:val="2"/>
        </w:numPr>
      </w:pPr>
      <w:r w:rsidRPr="00A64CDB">
        <w:rPr>
          <w:b/>
          <w:bCs/>
        </w:rPr>
        <w:t>アプリケーション別:</w:t>
      </w:r>
      <w:r w:rsidRPr="00A64CDB">
        <w:t xml:space="preserve"> 腫瘍学、心血管、筋骨格、神経学、皮膚科</w:t>
      </w:r>
    </w:p>
    <w:p w14:paraId="5BB0AFE8" w14:textId="50851DD0" w:rsidR="00A64CDB" w:rsidRPr="00A64CDB" w:rsidRDefault="00A64CDB" w:rsidP="00A64CDB">
      <w:pPr>
        <w:numPr>
          <w:ilvl w:val="0"/>
          <w:numId w:val="2"/>
        </w:numPr>
      </w:pPr>
      <w:r w:rsidRPr="00A64CDB">
        <w:rPr>
          <w:b/>
          <w:bCs/>
        </w:rPr>
        <w:t>エンドユーザー別:</w:t>
      </w:r>
      <w:r w:rsidRPr="00A64CDB">
        <w:t xml:space="preserve"> 病院・診療所、学術機関、研究センター、バイオテクノロジー企業</w:t>
      </w:r>
    </w:p>
    <w:p w14:paraId="24593E16" w14:textId="77777777" w:rsidR="00A64CDB" w:rsidRPr="00A64CDB" w:rsidRDefault="00A64CDB" w:rsidP="00A64CDB">
      <w:pPr>
        <w:rPr>
          <w:b/>
          <w:bCs/>
        </w:rPr>
      </w:pPr>
      <w:r w:rsidRPr="00A64CDB">
        <w:rPr>
          <w:b/>
          <w:bCs/>
        </w:rPr>
        <w:t>地域別インサイト:</w:t>
      </w:r>
    </w:p>
    <w:p w14:paraId="0EAF8D90" w14:textId="77777777" w:rsidR="00A64CDB" w:rsidRPr="00A64CDB" w:rsidRDefault="00A64CDB" w:rsidP="00A64CDB">
      <w:r w:rsidRPr="00A64CDB">
        <w:rPr>
          <w:b/>
          <w:bCs/>
        </w:rPr>
        <w:t>北米</w:t>
      </w:r>
      <w:r w:rsidRPr="00A64CDB">
        <w:t xml:space="preserve"> は、堅牢な研究機関、高度な医療システム、および支援的な償還モデルにより、世界の細胞治療市場を支配しています。米国では、血液がんに対してすでに複数のCAR-T細胞療法が承認されています。</w:t>
      </w:r>
    </w:p>
    <w:p w14:paraId="656A9C48" w14:textId="71EA6546" w:rsidR="00A64CDB" w:rsidRPr="00A64CDB" w:rsidRDefault="00A64CDB" w:rsidP="00A64CDB">
      <w:r w:rsidRPr="00A64CDB">
        <w:rPr>
          <w:b/>
          <w:bCs/>
        </w:rPr>
        <w:t>アジア太平洋地域</w:t>
      </w:r>
      <w:r w:rsidRPr="00A64CDB">
        <w:t>は、政府の支援政策、バイオテクノロジーの新興企業の拡大、および大規模な患者人口により、急速に追いついています。</w:t>
      </w:r>
      <w:r w:rsidRPr="00A64CDB">
        <w:rPr>
          <w:b/>
          <w:bCs/>
        </w:rPr>
        <w:t>中国、日本、韓国</w:t>
      </w:r>
      <w:r w:rsidRPr="00A64CDB">
        <w:t>、</w:t>
      </w:r>
      <w:r w:rsidRPr="00A64CDB">
        <w:rPr>
          <w:b/>
          <w:bCs/>
        </w:rPr>
        <w:t>インド</w:t>
      </w:r>
      <w:r w:rsidRPr="00A64CDB">
        <w:t>などの国々は、再生医療のインフラに戦略的な投資を行っています。</w:t>
      </w:r>
    </w:p>
    <w:p w14:paraId="45FA6CEB" w14:textId="77777777" w:rsidR="00A64CDB" w:rsidRPr="00A64CDB" w:rsidRDefault="00A64CDB" w:rsidP="00A64CDB">
      <w:pPr>
        <w:rPr>
          <w:b/>
          <w:bCs/>
        </w:rPr>
      </w:pPr>
      <w:r w:rsidRPr="00A64CDB">
        <w:rPr>
          <w:b/>
          <w:bCs/>
        </w:rPr>
        <w:lastRenderedPageBreak/>
        <w:t>市場を形成する主要なプレーヤー:</w:t>
      </w:r>
    </w:p>
    <w:p w14:paraId="33314964" w14:textId="77777777" w:rsidR="00A64CDB" w:rsidRPr="00A64CDB" w:rsidRDefault="00A64CDB" w:rsidP="00A64CDB">
      <w:pPr>
        <w:numPr>
          <w:ilvl w:val="0"/>
          <w:numId w:val="3"/>
        </w:numPr>
      </w:pPr>
      <w:r w:rsidRPr="00A64CDB">
        <w:rPr>
          <w:b/>
          <w:bCs/>
        </w:rPr>
        <w:t>ノバルティスAG</w:t>
      </w:r>
    </w:p>
    <w:p w14:paraId="04D948E3" w14:textId="77777777" w:rsidR="00A64CDB" w:rsidRPr="00A64CDB" w:rsidRDefault="00A64CDB" w:rsidP="00A64CDB">
      <w:pPr>
        <w:numPr>
          <w:ilvl w:val="0"/>
          <w:numId w:val="3"/>
        </w:numPr>
      </w:pPr>
      <w:r w:rsidRPr="00A64CDB">
        <w:rPr>
          <w:b/>
          <w:bCs/>
        </w:rPr>
        <w:t>ギリアド・サイエンシズ(カイト・ファーマ)</w:t>
      </w:r>
    </w:p>
    <w:p w14:paraId="1ECDF1DA" w14:textId="77777777" w:rsidR="00A64CDB" w:rsidRPr="00A64CDB" w:rsidRDefault="00A64CDB" w:rsidP="00A64CDB">
      <w:pPr>
        <w:numPr>
          <w:ilvl w:val="0"/>
          <w:numId w:val="3"/>
        </w:numPr>
      </w:pPr>
      <w:r w:rsidRPr="00A64CDB">
        <w:rPr>
          <w:b/>
          <w:bCs/>
        </w:rPr>
        <w:t>ブリストル マイヤーズ スクイブ</w:t>
      </w:r>
    </w:p>
    <w:p w14:paraId="5DC3F350" w14:textId="77777777" w:rsidR="00A64CDB" w:rsidRPr="00A64CDB" w:rsidRDefault="00A64CDB" w:rsidP="00A64CDB">
      <w:pPr>
        <w:numPr>
          <w:ilvl w:val="0"/>
          <w:numId w:val="3"/>
        </w:numPr>
      </w:pPr>
      <w:r w:rsidRPr="00A64CDB">
        <w:rPr>
          <w:b/>
          <w:bCs/>
        </w:rPr>
        <w:t>ブルーバードバイオ</w:t>
      </w:r>
    </w:p>
    <w:p w14:paraId="415A29F7" w14:textId="77777777" w:rsidR="00A64CDB" w:rsidRPr="00A64CDB" w:rsidRDefault="00A64CDB" w:rsidP="00A64CDB">
      <w:pPr>
        <w:numPr>
          <w:ilvl w:val="0"/>
          <w:numId w:val="3"/>
        </w:numPr>
      </w:pPr>
      <w:r w:rsidRPr="00A64CDB">
        <w:rPr>
          <w:b/>
          <w:bCs/>
        </w:rPr>
        <w:t>サンガモセラピューティクス</w:t>
      </w:r>
    </w:p>
    <w:p w14:paraId="3B08C3C5" w14:textId="77777777" w:rsidR="00A64CDB" w:rsidRPr="00A64CDB" w:rsidRDefault="00A64CDB" w:rsidP="00A64CDB">
      <w:pPr>
        <w:numPr>
          <w:ilvl w:val="0"/>
          <w:numId w:val="3"/>
        </w:numPr>
      </w:pPr>
      <w:r w:rsidRPr="00A64CDB">
        <w:rPr>
          <w:b/>
          <w:bCs/>
        </w:rPr>
        <w:t>フェイト・セラピューティクス</w:t>
      </w:r>
    </w:p>
    <w:p w14:paraId="5A4B2AA4" w14:textId="77777777" w:rsidR="00A64CDB" w:rsidRPr="00A64CDB" w:rsidRDefault="00A64CDB" w:rsidP="00A64CDB">
      <w:pPr>
        <w:numPr>
          <w:ilvl w:val="0"/>
          <w:numId w:val="3"/>
        </w:numPr>
      </w:pPr>
      <w:proofErr w:type="spellStart"/>
      <w:r w:rsidRPr="00A64CDB">
        <w:rPr>
          <w:b/>
          <w:bCs/>
        </w:rPr>
        <w:t>サーモフィッシャーサイエンティフィック</w:t>
      </w:r>
      <w:proofErr w:type="spellEnd"/>
    </w:p>
    <w:p w14:paraId="10AFB9C3" w14:textId="77777777" w:rsidR="00A64CDB" w:rsidRPr="00A64CDB" w:rsidRDefault="00A64CDB" w:rsidP="00A64CDB">
      <w:pPr>
        <w:numPr>
          <w:ilvl w:val="0"/>
          <w:numId w:val="3"/>
        </w:numPr>
      </w:pPr>
      <w:r w:rsidRPr="00A64CDB">
        <w:rPr>
          <w:b/>
          <w:bCs/>
        </w:rPr>
        <w:t>細胞バイオメディシングループ</w:t>
      </w:r>
    </w:p>
    <w:p w14:paraId="0E115BCD" w14:textId="06735290" w:rsidR="00A64CDB" w:rsidRPr="00A64CDB" w:rsidRDefault="00A64CDB" w:rsidP="00A64CDB">
      <w:r w:rsidRPr="00A64CDB">
        <w:t>これらのプレーヤーは、CAR-T細胞療法</w:t>
      </w:r>
      <w:r w:rsidRPr="00A64CDB">
        <w:rPr>
          <w:b/>
          <w:bCs/>
        </w:rPr>
        <w:t>、</w:t>
      </w:r>
      <w:r w:rsidRPr="00A64CDB">
        <w:t>NK細胞療法</w:t>
      </w:r>
      <w:r w:rsidRPr="00A64CDB">
        <w:rPr>
          <w:b/>
          <w:bCs/>
        </w:rPr>
        <w:t>、</w:t>
      </w:r>
      <w:r w:rsidRPr="00A64CDB">
        <w:t>幹細胞ベースの治療</w:t>
      </w:r>
      <w:r w:rsidRPr="00A64CDB">
        <w:rPr>
          <w:b/>
          <w:bCs/>
        </w:rPr>
        <w:t>のプラットフォームを積極的に開発</w:t>
      </w:r>
      <w:r w:rsidRPr="00A64CDB">
        <w:t>しており、研究開発と臨床試験に多額の投資を行っています。</w:t>
      </w:r>
    </w:p>
    <w:p w14:paraId="4AFB7CAC" w14:textId="77777777" w:rsidR="00A64CDB" w:rsidRPr="00A64CDB" w:rsidRDefault="00A64CDB" w:rsidP="00A64CDB">
      <w:pPr>
        <w:rPr>
          <w:b/>
          <w:bCs/>
        </w:rPr>
      </w:pPr>
      <w:r w:rsidRPr="00A64CDB">
        <w:rPr>
          <w:b/>
          <w:bCs/>
        </w:rPr>
        <w:t>今後の見通し:</w:t>
      </w:r>
    </w:p>
    <w:p w14:paraId="2CEAAAFA" w14:textId="77777777" w:rsidR="00A64CDB" w:rsidRPr="00A64CDB" w:rsidRDefault="00A64CDB" w:rsidP="00A64CDB">
      <w:r w:rsidRPr="00A64CDB">
        <w:t>細胞治療市場は、より患者中心で、アクセスしやすく、技術的に強化された未来に向かっています。</w:t>
      </w:r>
      <w:r w:rsidRPr="00A64CDB">
        <w:rPr>
          <w:b/>
          <w:bCs/>
        </w:rPr>
        <w:t>既製の同種異系治療</w:t>
      </w:r>
      <w:r w:rsidRPr="00A64CDB">
        <w:t>、</w:t>
      </w:r>
      <w:r w:rsidRPr="00A64CDB">
        <w:rPr>
          <w:b/>
          <w:bCs/>
        </w:rPr>
        <w:t>AI主導の製造プラットフォーム</w:t>
      </w:r>
      <w:r w:rsidRPr="00A64CDB">
        <w:t>、</w:t>
      </w:r>
      <w:r w:rsidRPr="00A64CDB">
        <w:rPr>
          <w:b/>
          <w:bCs/>
        </w:rPr>
        <w:t>in vivo細胞工学</w:t>
      </w:r>
      <w:r w:rsidRPr="00A64CDB">
        <w:t>のイノベーションは、治療環境を再構築することを約束します。</w:t>
      </w:r>
    </w:p>
    <w:p w14:paraId="3E6ECD92" w14:textId="07336AEA" w:rsidR="00A64CDB" w:rsidRPr="00A64CDB" w:rsidRDefault="00A64CDB" w:rsidP="00A64CDB">
      <w:pPr>
        <w:rPr>
          <w:b/>
          <w:bCs/>
        </w:rPr>
      </w:pPr>
      <w:r w:rsidRPr="00A64CDB">
        <w:rPr>
          <w:b/>
          <w:bCs/>
        </w:rPr>
        <w:t>レポート全文を入手する</w:t>
      </w:r>
    </w:p>
    <w:p w14:paraId="48F289EB" w14:textId="6897E61A" w:rsidR="004D40C5" w:rsidRDefault="00A64CDB">
      <w:r w:rsidRPr="00A64CDB">
        <w:t xml:space="preserve">詳細な市場予測、競合分析、パイプライン評価、投資インサイトについては、SkyQuestのレポート全文をご覧ください </w:t>
      </w:r>
      <w:hyperlink r:id="rId7" w:history="1">
        <w:r w:rsidR="00000CD8" w:rsidRPr="00535F35">
          <w:rPr>
            <w:rStyle w:val="Hyperlink"/>
          </w:rPr>
          <w:t>https://www.skyquestt.com/report/cell-therapy-market</w:t>
        </w:r>
      </w:hyperlink>
      <w:r w:rsidR="00000CD8">
        <w:t xml:space="preserve"> </w:t>
      </w:r>
      <w:r w:rsidRPr="00A64CDB">
        <w:t xml:space="preserve"> </w:t>
      </w:r>
      <w:hyperlink r:id="rId8" w:history="1"/>
      <w:r>
        <w:t xml:space="preserve"> </w:t>
      </w:r>
    </w:p>
    <w:sectPr w:rsidR="004D4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E0F92"/>
    <w:multiLevelType w:val="multilevel"/>
    <w:tmpl w:val="E9C6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9F7617"/>
    <w:multiLevelType w:val="multilevel"/>
    <w:tmpl w:val="2BACD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C032B3"/>
    <w:multiLevelType w:val="multilevel"/>
    <w:tmpl w:val="8384F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8336088">
    <w:abstractNumId w:val="2"/>
  </w:num>
  <w:num w:numId="2" w16cid:durableId="219097291">
    <w:abstractNumId w:val="1"/>
  </w:num>
  <w:num w:numId="3" w16cid:durableId="1305352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CDB"/>
    <w:rsid w:val="00000CD8"/>
    <w:rsid w:val="001D01DB"/>
    <w:rsid w:val="00274CDA"/>
    <w:rsid w:val="004D40C5"/>
    <w:rsid w:val="00863D10"/>
    <w:rsid w:val="008C0896"/>
    <w:rsid w:val="00A64CDB"/>
    <w:rsid w:val="00B354D8"/>
    <w:rsid w:val="00BB68BD"/>
    <w:rsid w:val="00C15B33"/>
    <w:rsid w:val="00EB43BE"/>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55D8B"/>
  <w15:chartTrackingRefBased/>
  <w15:docId w15:val="{5C170204-85F5-44CB-BA27-D74510E5B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4C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4C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4C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4C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4C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4C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4C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4C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4C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C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4C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4C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4C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4C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4C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C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C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CDB"/>
    <w:rPr>
      <w:rFonts w:eastAsiaTheme="majorEastAsia" w:cstheme="majorBidi"/>
      <w:color w:val="272727" w:themeColor="text1" w:themeTint="D8"/>
    </w:rPr>
  </w:style>
  <w:style w:type="paragraph" w:styleId="Title">
    <w:name w:val="Title"/>
    <w:basedOn w:val="Normal"/>
    <w:next w:val="Normal"/>
    <w:link w:val="TitleChar"/>
    <w:uiPriority w:val="10"/>
    <w:qFormat/>
    <w:rsid w:val="00A64C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C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C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C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CDB"/>
    <w:pPr>
      <w:spacing w:before="160"/>
      <w:jc w:val="center"/>
    </w:pPr>
    <w:rPr>
      <w:i/>
      <w:iCs/>
      <w:color w:val="404040" w:themeColor="text1" w:themeTint="BF"/>
    </w:rPr>
  </w:style>
  <w:style w:type="character" w:customStyle="1" w:styleId="QuoteChar">
    <w:name w:val="Quote Char"/>
    <w:basedOn w:val="DefaultParagraphFont"/>
    <w:link w:val="Quote"/>
    <w:uiPriority w:val="29"/>
    <w:rsid w:val="00A64CDB"/>
    <w:rPr>
      <w:i/>
      <w:iCs/>
      <w:color w:val="404040" w:themeColor="text1" w:themeTint="BF"/>
    </w:rPr>
  </w:style>
  <w:style w:type="paragraph" w:styleId="ListParagraph">
    <w:name w:val="List Paragraph"/>
    <w:basedOn w:val="Normal"/>
    <w:uiPriority w:val="34"/>
    <w:qFormat/>
    <w:rsid w:val="00A64CDB"/>
    <w:pPr>
      <w:ind w:left="720"/>
      <w:contextualSpacing/>
    </w:pPr>
  </w:style>
  <w:style w:type="character" w:styleId="IntenseEmphasis">
    <w:name w:val="Intense Emphasis"/>
    <w:basedOn w:val="DefaultParagraphFont"/>
    <w:uiPriority w:val="21"/>
    <w:qFormat/>
    <w:rsid w:val="00A64CDB"/>
    <w:rPr>
      <w:i/>
      <w:iCs/>
      <w:color w:val="2F5496" w:themeColor="accent1" w:themeShade="BF"/>
    </w:rPr>
  </w:style>
  <w:style w:type="paragraph" w:styleId="IntenseQuote">
    <w:name w:val="Intense Quote"/>
    <w:basedOn w:val="Normal"/>
    <w:next w:val="Normal"/>
    <w:link w:val="IntenseQuoteChar"/>
    <w:uiPriority w:val="30"/>
    <w:qFormat/>
    <w:rsid w:val="00A64C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4CDB"/>
    <w:rPr>
      <w:i/>
      <w:iCs/>
      <w:color w:val="2F5496" w:themeColor="accent1" w:themeShade="BF"/>
    </w:rPr>
  </w:style>
  <w:style w:type="character" w:styleId="IntenseReference">
    <w:name w:val="Intense Reference"/>
    <w:basedOn w:val="DefaultParagraphFont"/>
    <w:uiPriority w:val="32"/>
    <w:qFormat/>
    <w:rsid w:val="00A64CDB"/>
    <w:rPr>
      <w:b/>
      <w:bCs/>
      <w:smallCaps/>
      <w:color w:val="2F5496" w:themeColor="accent1" w:themeShade="BF"/>
      <w:spacing w:val="5"/>
    </w:rPr>
  </w:style>
  <w:style w:type="character" w:styleId="Hyperlink">
    <w:name w:val="Hyperlink"/>
    <w:basedOn w:val="DefaultParagraphFont"/>
    <w:uiPriority w:val="99"/>
    <w:unhideWhenUsed/>
    <w:rsid w:val="00A64CDB"/>
    <w:rPr>
      <w:color w:val="0563C1" w:themeColor="hyperlink"/>
      <w:u w:val="single"/>
    </w:rPr>
  </w:style>
  <w:style w:type="character" w:styleId="UnresolvedMention">
    <w:name w:val="Unresolved Mention"/>
    <w:basedOn w:val="DefaultParagraphFont"/>
    <w:uiPriority w:val="99"/>
    <w:semiHidden/>
    <w:unhideWhenUsed/>
    <w:rsid w:val="00A64CDB"/>
    <w:rPr>
      <w:color w:val="605E5C"/>
      <w:shd w:val="clear" w:color="auto" w:fill="E1DFDD"/>
    </w:rPr>
  </w:style>
  <w:style w:type="character" w:styleId="PlaceholderText">
    <w:name w:val="Placeholder Text"/>
    <w:basedOn w:val="DefaultParagraphFont"/>
    <w:uiPriority w:val="99"/>
    <w:semiHidden/>
    <w:rsid w:val="00EB43B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03583">
      <w:bodyDiv w:val="1"/>
      <w:marLeft w:val="0"/>
      <w:marRight w:val="0"/>
      <w:marTop w:val="0"/>
      <w:marBottom w:val="0"/>
      <w:divBdr>
        <w:top w:val="none" w:sz="0" w:space="0" w:color="auto"/>
        <w:left w:val="none" w:sz="0" w:space="0" w:color="auto"/>
        <w:bottom w:val="none" w:sz="0" w:space="0" w:color="auto"/>
        <w:right w:val="none" w:sz="0" w:space="0" w:color="auto"/>
      </w:divBdr>
    </w:div>
    <w:div w:id="322784319">
      <w:bodyDiv w:val="1"/>
      <w:marLeft w:val="0"/>
      <w:marRight w:val="0"/>
      <w:marTop w:val="0"/>
      <w:marBottom w:val="0"/>
      <w:divBdr>
        <w:top w:val="none" w:sz="0" w:space="0" w:color="auto"/>
        <w:left w:val="none" w:sz="0" w:space="0" w:color="auto"/>
        <w:bottom w:val="none" w:sz="0" w:space="0" w:color="auto"/>
        <w:right w:val="none" w:sz="0" w:space="0" w:color="auto"/>
      </w:divBdr>
    </w:div>
    <w:div w:id="851602005">
      <w:bodyDiv w:val="1"/>
      <w:marLeft w:val="0"/>
      <w:marRight w:val="0"/>
      <w:marTop w:val="0"/>
      <w:marBottom w:val="0"/>
      <w:divBdr>
        <w:top w:val="none" w:sz="0" w:space="0" w:color="auto"/>
        <w:left w:val="none" w:sz="0" w:space="0" w:color="auto"/>
        <w:bottom w:val="none" w:sz="0" w:space="0" w:color="auto"/>
        <w:right w:val="none" w:sz="0" w:space="0" w:color="auto"/>
      </w:divBdr>
    </w:div>
    <w:div w:id="158055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cell-therapy-market" TargetMode="External"/><Relationship Id="rId3" Type="http://schemas.openxmlformats.org/officeDocument/2006/relationships/settings" Target="settings.xml"/><Relationship Id="rId7" Type="http://schemas.openxmlformats.org/officeDocument/2006/relationships/hyperlink" Target="https://www.skyquestt.com/report/cell-therapy-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cell-therapy-market" TargetMode="External"/><Relationship Id="rId5" Type="http://schemas.openxmlformats.org/officeDocument/2006/relationships/hyperlink" Target="https://www.skyquestt.com/sample-request/cell-therapy-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376</Words>
  <Characters>2144</Characters>
  <Application>Microsoft Office Word</Application>
  <DocSecurity>0</DocSecurity>
  <Lines>17</Lines>
  <Paragraphs>5</Paragraphs>
  <ScaleCrop>false</ScaleCrop>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2</cp:revision>
  <dcterms:created xsi:type="dcterms:W3CDTF">2025-04-14T13:35:00Z</dcterms:created>
  <dcterms:modified xsi:type="dcterms:W3CDTF">2025-04-14T13:45:00Z</dcterms:modified>
</cp:coreProperties>
</file>