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DB2439" w14:textId="2849CEBA" w:rsidR="00D6451F" w:rsidRPr="00D6451F" w:rsidRDefault="00D6451F" w:rsidP="00D6451F">
      <w:r w:rsidRPr="00D6451F">
        <w:rPr>
          <w:b/>
          <w:bCs/>
        </w:rPr>
        <w:t>医療エステティック市場は、低侵襲手術の需要の高まりにより、2032年までに392億米ドルに達すると予測されています</w:t>
      </w:r>
    </w:p>
    <w:p w14:paraId="5C089BA0" w14:textId="77777777" w:rsidR="00D6451F" w:rsidRDefault="00D6451F" w:rsidP="00D6451F">
      <w:r w:rsidRPr="00D6451F">
        <w:t>近年、医療美容市場は、主に人の外見に対する社会的注目の高まりにより、大規模な急増を目撃しています。この文化的規範の変革と、現在市場で容易に入手できる化粧品ソリューションの認識は、医療審美市場の成長を後押しする上で重要な役割を果たしています。また、人々は個人の美学を向上させ、さまざまな化粧品の介入を受け入れることにもっと注意を払うようになり、市場を牽引しています。これらのプロセスは、高度な美容技術を活用した熟練した医療提供者によって行われます。</w:t>
      </w:r>
    </w:p>
    <w:p w14:paraId="0BCB2E99" w14:textId="77777777" w:rsidR="00D6451F" w:rsidRPr="00D6451F" w:rsidRDefault="00D6451F" w:rsidP="00D6451F">
      <w:r w:rsidRPr="00D6451F">
        <w:t>メディカルエステティックの市場規模は2023年に176億米ドルと評価され、2024年の197億3000万米ドルから2032年までに492億米ドルに成長し、予測期間(2025年から2032年)の間に12.1%のCAGRで成長する態勢を整えています。</w:t>
      </w:r>
    </w:p>
    <w:p w14:paraId="70B99E0D" w14:textId="752A2373" w:rsidR="00D6451F" w:rsidRPr="00D6451F" w:rsidRDefault="00D6451F" w:rsidP="00D6451F">
      <w:r w:rsidRPr="00D6451F">
        <w:t xml:space="preserve">今すぐ無料サンプルレポートを入手: </w:t>
      </w:r>
      <w:hyperlink r:id="rId5" w:history="1">
        <w:r w:rsidRPr="002E5C5F">
          <w:rPr>
            <w:rStyle w:val="Hyperlink"/>
          </w:rPr>
          <w:t>https://www.skyquestt.com/sample-request/medical-aesthetics-market</w:t>
        </w:r>
      </w:hyperlink>
      <w:r>
        <w:t xml:space="preserve"> </w:t>
      </w:r>
    </w:p>
    <w:p w14:paraId="0AD0D031" w14:textId="77777777" w:rsidR="00D6451F" w:rsidRPr="00D6451F" w:rsidRDefault="00D6451F" w:rsidP="00D6451F">
      <w:r w:rsidRPr="00D6451F">
        <w:rPr>
          <w:b/>
          <w:bCs/>
        </w:rPr>
        <w:t>主な市場ドライバー:</w:t>
      </w:r>
    </w:p>
    <w:p w14:paraId="07CF94C3" w14:textId="4467FB9A" w:rsidR="00D6451F" w:rsidRPr="00D6451F" w:rsidRDefault="00D6451F" w:rsidP="00D6451F">
      <w:pPr>
        <w:numPr>
          <w:ilvl w:val="0"/>
          <w:numId w:val="1"/>
        </w:numPr>
      </w:pPr>
      <w:r w:rsidRPr="00D6451F">
        <w:rPr>
          <w:b/>
          <w:bCs/>
        </w:rPr>
        <w:t>個人の外見への注目の高まり:</w:t>
      </w:r>
      <w:r w:rsidRPr="00D6451F">
        <w:t xml:space="preserve"> 美学への社会的重点と若々しい外見への欲求により、より多くの個人が美容整形を求めるようになっています。</w:t>
      </w:r>
    </w:p>
    <w:p w14:paraId="418AAFB7" w14:textId="642C2360" w:rsidR="00D6451F" w:rsidRPr="00D6451F" w:rsidRDefault="00D6451F" w:rsidP="00D6451F">
      <w:pPr>
        <w:numPr>
          <w:ilvl w:val="0"/>
          <w:numId w:val="1"/>
        </w:numPr>
      </w:pPr>
      <w:r w:rsidRPr="00D6451F">
        <w:rPr>
          <w:b/>
          <w:bCs/>
        </w:rPr>
        <w:t>技術の進歩:</w:t>
      </w:r>
      <w:r w:rsidRPr="00D6451F">
        <w:t xml:space="preserve"> ボツリヌス毒素注射、皮膚充填剤、ケミカルピーリング、マイクロダーマブレーションなど、非侵襲的で低侵襲の処置の革新により、治療はより身近で魅力的なものになっています。</w:t>
      </w:r>
    </w:p>
    <w:p w14:paraId="0083E623" w14:textId="77777777" w:rsidR="00D6451F" w:rsidRPr="00D6451F" w:rsidRDefault="00D6451F" w:rsidP="00D6451F">
      <w:r w:rsidRPr="00D6451F">
        <w:rPr>
          <w:b/>
          <w:bCs/>
        </w:rPr>
        <w:t>市場セグメンテーション:</w:t>
      </w:r>
    </w:p>
    <w:p w14:paraId="5F207A58" w14:textId="0C561150" w:rsidR="00D6451F" w:rsidRPr="00D6451F" w:rsidRDefault="00D6451F" w:rsidP="00D6451F">
      <w:pPr>
        <w:numPr>
          <w:ilvl w:val="0"/>
          <w:numId w:val="2"/>
        </w:numPr>
      </w:pPr>
      <w:r w:rsidRPr="00D6451F">
        <w:rPr>
          <w:b/>
          <w:bCs/>
        </w:rPr>
        <w:t>製品別:</w:t>
      </w:r>
      <w:r w:rsidRPr="00D6451F">
        <w:t xml:space="preserve"> フェイシャルエステティック製品、ボディコントゥアリングデバイス、肌の若返りデバイス、脱毛デバイスなど。</w:t>
      </w:r>
    </w:p>
    <w:p w14:paraId="7C02738F" w14:textId="5CE2F211" w:rsidR="00D6451F" w:rsidRPr="00D6451F" w:rsidRDefault="00D6451F" w:rsidP="00D6451F">
      <w:pPr>
        <w:numPr>
          <w:ilvl w:val="0"/>
          <w:numId w:val="2"/>
        </w:numPr>
      </w:pPr>
      <w:r w:rsidRPr="00D6451F">
        <w:rPr>
          <w:b/>
          <w:bCs/>
        </w:rPr>
        <w:t>エンドユーザー別:</w:t>
      </w:r>
      <w:r w:rsidRPr="00D6451F">
        <w:t xml:space="preserve"> クリニック、病院、医療スパ、在宅医療施設。</w:t>
      </w:r>
    </w:p>
    <w:p w14:paraId="05182858" w14:textId="096D655F" w:rsidR="00D6451F" w:rsidRPr="00D6451F" w:rsidRDefault="00D6451F" w:rsidP="00D6451F">
      <w:pPr>
        <w:numPr>
          <w:ilvl w:val="0"/>
          <w:numId w:val="2"/>
        </w:numPr>
      </w:pPr>
      <w:r w:rsidRPr="00D6451F">
        <w:rPr>
          <w:b/>
          <w:bCs/>
        </w:rPr>
        <w:t>地域別:</w:t>
      </w:r>
      <w:r w:rsidRPr="00D6451F">
        <w:t xml:space="preserve"> 北米、ヨーロッパ、アジア太平洋、ラテンアメリカ、中東、アフリカ。</w:t>
      </w:r>
    </w:p>
    <w:p w14:paraId="0AD060F5" w14:textId="77777777" w:rsidR="00D6451F" w:rsidRPr="00D6451F" w:rsidRDefault="00D6451F" w:rsidP="00D6451F">
      <w:r w:rsidRPr="00D6451F">
        <w:rPr>
          <w:b/>
          <w:bCs/>
        </w:rPr>
        <w:t>地域別インサイト:</w:t>
      </w:r>
    </w:p>
    <w:p w14:paraId="77245830" w14:textId="44D6B644" w:rsidR="00D6451F" w:rsidRPr="00D6451F" w:rsidRDefault="00D6451F" w:rsidP="00D6451F">
      <w:pPr>
        <w:numPr>
          <w:ilvl w:val="0"/>
          <w:numId w:val="3"/>
        </w:numPr>
      </w:pPr>
      <w:r w:rsidRPr="00D6451F">
        <w:rPr>
          <w:b/>
          <w:bCs/>
        </w:rPr>
        <w:t>北米:</w:t>
      </w:r>
      <w:r w:rsidRPr="00D6451F">
        <w:t xml:space="preserve"> 高度な医療インフラ、美容整形の高い採用、および主要な市場プレーヤーの存在により、市場をリードしています。</w:t>
      </w:r>
    </w:p>
    <w:p w14:paraId="48582AB0" w14:textId="7C1B36DA" w:rsidR="00D6451F" w:rsidRPr="00D6451F" w:rsidRDefault="00D6451F" w:rsidP="00D6451F">
      <w:pPr>
        <w:numPr>
          <w:ilvl w:val="0"/>
          <w:numId w:val="3"/>
        </w:numPr>
      </w:pPr>
      <w:r w:rsidRPr="00D6451F">
        <w:rPr>
          <w:b/>
          <w:bCs/>
        </w:rPr>
        <w:t>アジア太平洋地域:</w:t>
      </w:r>
      <w:r w:rsidRPr="00D6451F">
        <w:t>可処分所得の増加、美容整形に対する意識の高まり、医療ツーリズムの拡大により、大幅な成長が見込まれています。</w:t>
      </w:r>
    </w:p>
    <w:p w14:paraId="086B38C8" w14:textId="62C30797" w:rsidR="00D6451F" w:rsidRPr="00D6451F" w:rsidRDefault="00D6451F" w:rsidP="00D6451F">
      <w:pPr>
        <w:rPr>
          <w:b/>
          <w:bCs/>
        </w:rPr>
      </w:pPr>
      <w:r w:rsidRPr="00D6451F">
        <w:rPr>
          <w:b/>
          <w:bCs/>
        </w:rPr>
        <w:lastRenderedPageBreak/>
        <w:t xml:space="preserve">トッププレイヤーの会社概要 </w:t>
      </w:r>
    </w:p>
    <w:p w14:paraId="146DFDFE" w14:textId="77777777" w:rsidR="00D6451F" w:rsidRPr="00D6451F" w:rsidRDefault="00D6451F" w:rsidP="00D6451F">
      <w:pPr>
        <w:pStyle w:val="ListParagraph"/>
        <w:numPr>
          <w:ilvl w:val="0"/>
          <w:numId w:val="4"/>
        </w:numPr>
      </w:pPr>
      <w:proofErr w:type="spellStart"/>
      <w:r w:rsidRPr="00D6451F">
        <w:t>Evolus</w:t>
      </w:r>
      <w:proofErr w:type="spellEnd"/>
      <w:r w:rsidRPr="00D6451F">
        <w:t xml:space="preserve"> Inc.(</w:t>
      </w:r>
      <w:proofErr w:type="spellStart"/>
      <w:r w:rsidRPr="00D6451F">
        <w:t>米国</w:t>
      </w:r>
      <w:proofErr w:type="spellEnd"/>
      <w:r w:rsidRPr="00D6451F">
        <w:t>)</w:t>
      </w:r>
    </w:p>
    <w:p w14:paraId="5AB5A8A0" w14:textId="77777777" w:rsidR="00D6451F" w:rsidRPr="00D6451F" w:rsidRDefault="00D6451F" w:rsidP="00D6451F">
      <w:pPr>
        <w:pStyle w:val="ListParagraph"/>
        <w:numPr>
          <w:ilvl w:val="0"/>
          <w:numId w:val="4"/>
        </w:numPr>
      </w:pPr>
      <w:proofErr w:type="spellStart"/>
      <w:r w:rsidRPr="00D6451F">
        <w:t>Cutera</w:t>
      </w:r>
      <w:proofErr w:type="spellEnd"/>
      <w:r w:rsidRPr="00D6451F">
        <w:t>(</w:t>
      </w:r>
      <w:proofErr w:type="spellStart"/>
      <w:r w:rsidRPr="00D6451F">
        <w:t>米国</w:t>
      </w:r>
      <w:proofErr w:type="spellEnd"/>
      <w:r w:rsidRPr="00D6451F">
        <w:t xml:space="preserve">) </w:t>
      </w:r>
    </w:p>
    <w:p w14:paraId="0612FA8A" w14:textId="77777777" w:rsidR="00D6451F" w:rsidRPr="00D6451F" w:rsidRDefault="00D6451F" w:rsidP="00D6451F">
      <w:pPr>
        <w:pStyle w:val="ListParagraph"/>
        <w:numPr>
          <w:ilvl w:val="0"/>
          <w:numId w:val="4"/>
        </w:numPr>
      </w:pPr>
      <w:r w:rsidRPr="00D6451F">
        <w:t xml:space="preserve">エクリプス(ベルギー) </w:t>
      </w:r>
    </w:p>
    <w:p w14:paraId="21222FA4" w14:textId="77777777" w:rsidR="00D6451F" w:rsidRPr="00D6451F" w:rsidRDefault="00D6451F" w:rsidP="00D6451F">
      <w:pPr>
        <w:pStyle w:val="ListParagraph"/>
        <w:numPr>
          <w:ilvl w:val="0"/>
          <w:numId w:val="4"/>
        </w:numPr>
      </w:pPr>
      <w:r w:rsidRPr="00D6451F">
        <w:t xml:space="preserve">Merz Pharma(ドイツ) </w:t>
      </w:r>
    </w:p>
    <w:p w14:paraId="378A6033" w14:textId="77777777" w:rsidR="00D6451F" w:rsidRPr="00D6451F" w:rsidRDefault="00D6451F" w:rsidP="00D6451F">
      <w:pPr>
        <w:pStyle w:val="ListParagraph"/>
        <w:numPr>
          <w:ilvl w:val="0"/>
          <w:numId w:val="4"/>
        </w:numPr>
      </w:pPr>
      <w:proofErr w:type="spellStart"/>
      <w:r w:rsidRPr="00D6451F">
        <w:t>Sisram</w:t>
      </w:r>
      <w:proofErr w:type="spellEnd"/>
      <w:r w:rsidRPr="00D6451F">
        <w:t xml:space="preserve"> Medical Ltd(</w:t>
      </w:r>
      <w:proofErr w:type="spellStart"/>
      <w:r w:rsidRPr="00D6451F">
        <w:t>イスラエル</w:t>
      </w:r>
      <w:proofErr w:type="spellEnd"/>
      <w:r w:rsidRPr="00D6451F">
        <w:t xml:space="preserve">) </w:t>
      </w:r>
    </w:p>
    <w:p w14:paraId="52995227" w14:textId="77777777" w:rsidR="00D6451F" w:rsidRPr="00D6451F" w:rsidRDefault="00D6451F" w:rsidP="00D6451F">
      <w:pPr>
        <w:pStyle w:val="ListParagraph"/>
        <w:numPr>
          <w:ilvl w:val="0"/>
          <w:numId w:val="4"/>
        </w:numPr>
      </w:pPr>
      <w:r w:rsidRPr="00D6451F">
        <w:t xml:space="preserve">BTL Group of Companies (スイス) </w:t>
      </w:r>
    </w:p>
    <w:p w14:paraId="5EF182E6" w14:textId="77777777" w:rsidR="00D6451F" w:rsidRPr="00D6451F" w:rsidRDefault="00D6451F" w:rsidP="00D6451F">
      <w:pPr>
        <w:pStyle w:val="ListParagraph"/>
        <w:numPr>
          <w:ilvl w:val="0"/>
          <w:numId w:val="4"/>
        </w:numPr>
      </w:pPr>
      <w:r w:rsidRPr="00D6451F">
        <w:t xml:space="preserve">Zimmer Biomet(ポーランド) </w:t>
      </w:r>
    </w:p>
    <w:p w14:paraId="72379E7F" w14:textId="77777777" w:rsidR="00D6451F" w:rsidRPr="00D6451F" w:rsidRDefault="00D6451F" w:rsidP="00D6451F">
      <w:pPr>
        <w:pStyle w:val="ListParagraph"/>
        <w:numPr>
          <w:ilvl w:val="0"/>
          <w:numId w:val="4"/>
        </w:numPr>
      </w:pPr>
      <w:proofErr w:type="spellStart"/>
      <w:r w:rsidRPr="00D6451F">
        <w:t>フォトナ</w:t>
      </w:r>
      <w:proofErr w:type="spellEnd"/>
      <w:r w:rsidRPr="00D6451F">
        <w:t>(</w:t>
      </w:r>
      <w:proofErr w:type="spellStart"/>
      <w:r w:rsidRPr="00D6451F">
        <w:t>米国</w:t>
      </w:r>
      <w:proofErr w:type="spellEnd"/>
      <w:r w:rsidRPr="00D6451F">
        <w:t xml:space="preserve">) </w:t>
      </w:r>
    </w:p>
    <w:p w14:paraId="5AC87262" w14:textId="77777777" w:rsidR="00D6451F" w:rsidRPr="00D6451F" w:rsidRDefault="00D6451F" w:rsidP="00D6451F">
      <w:pPr>
        <w:pStyle w:val="ListParagraph"/>
        <w:numPr>
          <w:ilvl w:val="0"/>
          <w:numId w:val="4"/>
        </w:numPr>
      </w:pPr>
      <w:r w:rsidRPr="00D6451F">
        <w:t xml:space="preserve">AbbVie Inc.(米国) </w:t>
      </w:r>
    </w:p>
    <w:p w14:paraId="56D90A5E" w14:textId="77777777" w:rsidR="00D6451F" w:rsidRPr="00D6451F" w:rsidRDefault="00D6451F" w:rsidP="00D6451F">
      <w:pPr>
        <w:pStyle w:val="ListParagraph"/>
        <w:numPr>
          <w:ilvl w:val="0"/>
          <w:numId w:val="4"/>
        </w:numPr>
      </w:pPr>
      <w:r w:rsidRPr="00D6451F">
        <w:t xml:space="preserve">ジョンソン・エンド・ジョンソン (米国) </w:t>
      </w:r>
    </w:p>
    <w:p w14:paraId="5F6FA026" w14:textId="77777777" w:rsidR="00D6451F" w:rsidRPr="00D6451F" w:rsidRDefault="00D6451F" w:rsidP="00D6451F">
      <w:pPr>
        <w:pStyle w:val="ListParagraph"/>
        <w:numPr>
          <w:ilvl w:val="0"/>
          <w:numId w:val="4"/>
        </w:numPr>
      </w:pPr>
      <w:r w:rsidRPr="00D6451F">
        <w:t xml:space="preserve">Bausch Health Companies Inc.(カナダ) </w:t>
      </w:r>
    </w:p>
    <w:p w14:paraId="585FB023" w14:textId="77777777" w:rsidR="00D6451F" w:rsidRPr="00D6451F" w:rsidRDefault="00D6451F" w:rsidP="00D6451F">
      <w:pPr>
        <w:pStyle w:val="ListParagraph"/>
        <w:numPr>
          <w:ilvl w:val="0"/>
          <w:numId w:val="4"/>
        </w:numPr>
      </w:pPr>
      <w:proofErr w:type="spellStart"/>
      <w:r w:rsidRPr="00D6451F">
        <w:t>Cutera</w:t>
      </w:r>
      <w:proofErr w:type="spellEnd"/>
      <w:r w:rsidRPr="00D6451F">
        <w:t>(</w:t>
      </w:r>
      <w:proofErr w:type="spellStart"/>
      <w:r w:rsidRPr="00D6451F">
        <w:t>米国</w:t>
      </w:r>
      <w:proofErr w:type="spellEnd"/>
      <w:r w:rsidRPr="00D6451F">
        <w:t xml:space="preserve">) </w:t>
      </w:r>
    </w:p>
    <w:p w14:paraId="69F522DA" w14:textId="77777777" w:rsidR="00D6451F" w:rsidRPr="00D6451F" w:rsidRDefault="00D6451F" w:rsidP="00D6451F">
      <w:pPr>
        <w:pStyle w:val="ListParagraph"/>
        <w:numPr>
          <w:ilvl w:val="0"/>
          <w:numId w:val="4"/>
        </w:numPr>
      </w:pPr>
      <w:proofErr w:type="spellStart"/>
      <w:r w:rsidRPr="00D6451F">
        <w:t>El.En</w:t>
      </w:r>
      <w:proofErr w:type="spellEnd"/>
      <w:r w:rsidRPr="00D6451F">
        <w:t>. S.P.A. (</w:t>
      </w:r>
      <w:proofErr w:type="spellStart"/>
      <w:r w:rsidRPr="00D6451F">
        <w:t>イタリア</w:t>
      </w:r>
      <w:proofErr w:type="spellEnd"/>
      <w:r w:rsidRPr="00D6451F">
        <w:t xml:space="preserve">) </w:t>
      </w:r>
    </w:p>
    <w:p w14:paraId="604094D6" w14:textId="7C46F3DC" w:rsidR="00D6451F" w:rsidRPr="00D6451F" w:rsidRDefault="00D6451F" w:rsidP="00D6451F">
      <w:pPr>
        <w:pStyle w:val="ListParagraph"/>
        <w:numPr>
          <w:ilvl w:val="0"/>
          <w:numId w:val="4"/>
        </w:numPr>
      </w:pPr>
      <w:proofErr w:type="spellStart"/>
      <w:r w:rsidRPr="00D6451F">
        <w:t>Inmode</w:t>
      </w:r>
      <w:proofErr w:type="spellEnd"/>
      <w:r w:rsidRPr="00D6451F">
        <w:t xml:space="preserve"> Ltd.(</w:t>
      </w:r>
      <w:proofErr w:type="spellStart"/>
      <w:r w:rsidRPr="00D6451F">
        <w:t>イスラエル</w:t>
      </w:r>
      <w:proofErr w:type="spellEnd"/>
      <w:r w:rsidRPr="00D6451F">
        <w:t>)</w:t>
      </w:r>
    </w:p>
    <w:p w14:paraId="76D3E089" w14:textId="77777777" w:rsidR="00D6451F" w:rsidRPr="00D6451F" w:rsidRDefault="00D6451F" w:rsidP="00D6451F">
      <w:pPr>
        <w:rPr>
          <w:b/>
          <w:bCs/>
        </w:rPr>
      </w:pPr>
      <w:r w:rsidRPr="00D6451F">
        <w:rPr>
          <w:b/>
          <w:bCs/>
        </w:rPr>
        <w:t>メディカルエステティック:主な市場動向</w:t>
      </w:r>
    </w:p>
    <w:p w14:paraId="3959CD5F" w14:textId="77777777" w:rsidR="00D6451F" w:rsidRPr="00D6451F" w:rsidRDefault="00D6451F" w:rsidP="00D6451F">
      <w:pPr>
        <w:pStyle w:val="ListParagraph"/>
        <w:numPr>
          <w:ilvl w:val="0"/>
          <w:numId w:val="5"/>
        </w:numPr>
      </w:pPr>
      <w:r w:rsidRPr="00D6451F">
        <w:t>美容基準とソーシャルメディアの影響の変革:美容基準の変革とソーシャルメディアプラットフォームの影響により、医療審美治療の需要が高まっています。完璧な外観を手に入れたいという願望は、人々が自分の特徴を改善し、若々しい外観を維持できるプロセスを経ることを奨励するソーシャルメディアプラットフォームで頻繁に描かれています。</w:t>
      </w:r>
    </w:p>
    <w:p w14:paraId="7D2A1B8C" w14:textId="45289B0A" w:rsidR="00D6451F" w:rsidRPr="00D6451F" w:rsidRDefault="00D6451F" w:rsidP="00D6451F">
      <w:pPr>
        <w:pStyle w:val="ListParagraph"/>
        <w:numPr>
          <w:ilvl w:val="0"/>
          <w:numId w:val="5"/>
        </w:numPr>
        <w:rPr>
          <w:b/>
          <w:bCs/>
        </w:rPr>
      </w:pPr>
      <w:r w:rsidRPr="00D6451F">
        <w:t>新興市場の発展:可処分所得の増加と美的プロセスに対する意識は、新興市場の機会を増やしています。メディカルエステティックビジネスは、幅広い治療を提供することで、これらの市場での存在感を拡大することができます。また、地元の好みや文化的規範に対応するためのマーケティング戦術を採用することもできます</w:t>
      </w:r>
      <w:r w:rsidRPr="00D6451F">
        <w:rPr>
          <w:b/>
          <w:bCs/>
        </w:rPr>
        <w:t>。</w:t>
      </w:r>
    </w:p>
    <w:p w14:paraId="796A8883" w14:textId="6F071128" w:rsidR="00D6451F" w:rsidRPr="00D6451F" w:rsidRDefault="00D6451F" w:rsidP="00D6451F">
      <w:r w:rsidRPr="00D6451F">
        <w:rPr>
          <w:b/>
          <w:bCs/>
        </w:rPr>
        <w:t>今後の見通し:</w:t>
      </w:r>
    </w:p>
    <w:p w14:paraId="0703FCFC" w14:textId="29261526" w:rsidR="00D6451F" w:rsidRPr="00D6451F" w:rsidRDefault="00D6451F" w:rsidP="00D6451F">
      <w:r w:rsidRPr="00D6451F">
        <w:t>医療エステティック市場は、技術の進歩により手技の安全性と有効性が向上し続けるため、堅調な成長を遂げる態勢が整っています。さまざまな人口統計で審美的な治療の受け入れが進んでいることは、市場の拡大をさらに促進すると予想されます。</w:t>
      </w:r>
    </w:p>
    <w:p w14:paraId="3965FC51" w14:textId="03247283" w:rsidR="004D40C5" w:rsidRDefault="00D6451F" w:rsidP="00D6451F">
      <w:r w:rsidRPr="00D6451F">
        <w:t xml:space="preserve">レポート全文は、次のWebサイトにアクセスしてください </w:t>
      </w:r>
      <w:hyperlink r:id="rId6" w:history="1">
        <w:r w:rsidRPr="002E5C5F">
          <w:rPr>
            <w:rStyle w:val="Hyperlink"/>
          </w:rPr>
          <w:t>https://www.skyquestt.com/report/medical-aesthetics-market</w:t>
        </w:r>
      </w:hyperlink>
      <w:r>
        <w:t xml:space="preserve"> </w:t>
      </w:r>
    </w:p>
    <w:p w14:paraId="1DE7086E" w14:textId="6A2C04E3" w:rsidR="00B26674" w:rsidRDefault="00A10E7B" w:rsidP="00D6451F">
      <w:r w:rsidRPr="00A10E7B">
        <w:lastRenderedPageBreak/>
        <w:t>Healthcare IT Market</w:t>
      </w:r>
      <w:r>
        <w:t xml:space="preserve"> -</w:t>
      </w:r>
      <w:hyperlink r:id="rId7" w:history="1">
        <w:r w:rsidRPr="002E5C5F">
          <w:rPr>
            <w:rStyle w:val="Hyperlink"/>
          </w:rPr>
          <w:t>https://vinitsawant.hatenablog.com/entry/2025/04/17/191223?_gl=1*zqh7iu*_gcl_au*NzA0MzAyMjA2LjE3NDI5MDgxOTA</w:t>
        </w:r>
      </w:hyperlink>
      <w:r w:rsidRPr="00A10E7B">
        <w:t>.</w:t>
      </w:r>
      <w:r>
        <w:t xml:space="preserve"> </w:t>
      </w:r>
    </w:p>
    <w:p w14:paraId="157AFBD0" w14:textId="0CF894EA" w:rsidR="00A10E7B" w:rsidRDefault="008B10A0" w:rsidP="00D6451F">
      <w:r w:rsidRPr="008B10A0">
        <w:t>Aggregates Market</w:t>
      </w:r>
      <w:r w:rsidR="003B42D5">
        <w:t xml:space="preserve">- </w:t>
      </w:r>
      <w:hyperlink r:id="rId8" w:history="1">
        <w:r w:rsidRPr="002E5C5F">
          <w:rPr>
            <w:rStyle w:val="Hyperlink"/>
          </w:rPr>
          <w:t>https://vinitsawant.hatenablog.com/entry/2025/04/16/203247?_gl=1*1i2a0w3*_gcl_au*NzA0MzAyMjA2LjE3NDI5MDgxOTA</w:t>
        </w:r>
      </w:hyperlink>
      <w:r w:rsidRPr="008B10A0">
        <w:t>.</w:t>
      </w:r>
      <w:r>
        <w:t xml:space="preserve"> </w:t>
      </w:r>
    </w:p>
    <w:sectPr w:rsidR="00A10E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6A1F6E"/>
    <w:multiLevelType w:val="hybridMultilevel"/>
    <w:tmpl w:val="F5B01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3A7D38"/>
    <w:multiLevelType w:val="multilevel"/>
    <w:tmpl w:val="2BC68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59951EA"/>
    <w:multiLevelType w:val="hybridMultilevel"/>
    <w:tmpl w:val="90962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8951ED2"/>
    <w:multiLevelType w:val="multilevel"/>
    <w:tmpl w:val="21482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F86091B"/>
    <w:multiLevelType w:val="multilevel"/>
    <w:tmpl w:val="E0F4B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28218915">
    <w:abstractNumId w:val="1"/>
  </w:num>
  <w:num w:numId="2" w16cid:durableId="193006612">
    <w:abstractNumId w:val="3"/>
  </w:num>
  <w:num w:numId="3" w16cid:durableId="1622109168">
    <w:abstractNumId w:val="4"/>
  </w:num>
  <w:num w:numId="4" w16cid:durableId="1365212186">
    <w:abstractNumId w:val="2"/>
  </w:num>
  <w:num w:numId="5" w16cid:durableId="5190528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51F"/>
    <w:rsid w:val="00020E2B"/>
    <w:rsid w:val="00167B96"/>
    <w:rsid w:val="001D01DB"/>
    <w:rsid w:val="00274CDA"/>
    <w:rsid w:val="003B42D5"/>
    <w:rsid w:val="004D40C5"/>
    <w:rsid w:val="008B10A0"/>
    <w:rsid w:val="00A10E7B"/>
    <w:rsid w:val="00B26674"/>
    <w:rsid w:val="00B354D8"/>
    <w:rsid w:val="00BB68BD"/>
    <w:rsid w:val="00C15B33"/>
    <w:rsid w:val="00D6451F"/>
    <w:rsid w:val="00E6581F"/>
    <w:rsid w:val="00FF34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C6B63"/>
  <w15:chartTrackingRefBased/>
  <w15:docId w15:val="{AA58A181-84E2-4724-B2C4-A9E6ABE65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6451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6451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6451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6451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6451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645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45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45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45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451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6451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6451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6451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6451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645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45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45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451F"/>
    <w:rPr>
      <w:rFonts w:eastAsiaTheme="majorEastAsia" w:cstheme="majorBidi"/>
      <w:color w:val="272727" w:themeColor="text1" w:themeTint="D8"/>
    </w:rPr>
  </w:style>
  <w:style w:type="paragraph" w:styleId="Title">
    <w:name w:val="Title"/>
    <w:basedOn w:val="Normal"/>
    <w:next w:val="Normal"/>
    <w:link w:val="TitleChar"/>
    <w:uiPriority w:val="10"/>
    <w:qFormat/>
    <w:rsid w:val="00D645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45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45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45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451F"/>
    <w:pPr>
      <w:spacing w:before="160"/>
      <w:jc w:val="center"/>
    </w:pPr>
    <w:rPr>
      <w:i/>
      <w:iCs/>
      <w:color w:val="404040" w:themeColor="text1" w:themeTint="BF"/>
    </w:rPr>
  </w:style>
  <w:style w:type="character" w:customStyle="1" w:styleId="QuoteChar">
    <w:name w:val="Quote Char"/>
    <w:basedOn w:val="DefaultParagraphFont"/>
    <w:link w:val="Quote"/>
    <w:uiPriority w:val="29"/>
    <w:rsid w:val="00D6451F"/>
    <w:rPr>
      <w:i/>
      <w:iCs/>
      <w:color w:val="404040" w:themeColor="text1" w:themeTint="BF"/>
    </w:rPr>
  </w:style>
  <w:style w:type="paragraph" w:styleId="ListParagraph">
    <w:name w:val="List Paragraph"/>
    <w:basedOn w:val="Normal"/>
    <w:uiPriority w:val="34"/>
    <w:qFormat/>
    <w:rsid w:val="00D6451F"/>
    <w:pPr>
      <w:ind w:left="720"/>
      <w:contextualSpacing/>
    </w:pPr>
  </w:style>
  <w:style w:type="character" w:styleId="IntenseEmphasis">
    <w:name w:val="Intense Emphasis"/>
    <w:basedOn w:val="DefaultParagraphFont"/>
    <w:uiPriority w:val="21"/>
    <w:qFormat/>
    <w:rsid w:val="00D6451F"/>
    <w:rPr>
      <w:i/>
      <w:iCs/>
      <w:color w:val="2F5496" w:themeColor="accent1" w:themeShade="BF"/>
    </w:rPr>
  </w:style>
  <w:style w:type="paragraph" w:styleId="IntenseQuote">
    <w:name w:val="Intense Quote"/>
    <w:basedOn w:val="Normal"/>
    <w:next w:val="Normal"/>
    <w:link w:val="IntenseQuoteChar"/>
    <w:uiPriority w:val="30"/>
    <w:qFormat/>
    <w:rsid w:val="00D6451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6451F"/>
    <w:rPr>
      <w:i/>
      <w:iCs/>
      <w:color w:val="2F5496" w:themeColor="accent1" w:themeShade="BF"/>
    </w:rPr>
  </w:style>
  <w:style w:type="character" w:styleId="IntenseReference">
    <w:name w:val="Intense Reference"/>
    <w:basedOn w:val="DefaultParagraphFont"/>
    <w:uiPriority w:val="32"/>
    <w:qFormat/>
    <w:rsid w:val="00D6451F"/>
    <w:rPr>
      <w:b/>
      <w:bCs/>
      <w:smallCaps/>
      <w:color w:val="2F5496" w:themeColor="accent1" w:themeShade="BF"/>
      <w:spacing w:val="5"/>
    </w:rPr>
  </w:style>
  <w:style w:type="character" w:styleId="Hyperlink">
    <w:name w:val="Hyperlink"/>
    <w:basedOn w:val="DefaultParagraphFont"/>
    <w:uiPriority w:val="99"/>
    <w:unhideWhenUsed/>
    <w:rsid w:val="00D6451F"/>
    <w:rPr>
      <w:color w:val="0563C1" w:themeColor="hyperlink"/>
      <w:u w:val="single"/>
    </w:rPr>
  </w:style>
  <w:style w:type="character" w:styleId="UnresolvedMention">
    <w:name w:val="Unresolved Mention"/>
    <w:basedOn w:val="DefaultParagraphFont"/>
    <w:uiPriority w:val="99"/>
    <w:semiHidden/>
    <w:unhideWhenUsed/>
    <w:rsid w:val="00D6451F"/>
    <w:rPr>
      <w:color w:val="605E5C"/>
      <w:shd w:val="clear" w:color="auto" w:fill="E1DFDD"/>
    </w:rPr>
  </w:style>
  <w:style w:type="character" w:styleId="PlaceholderText">
    <w:name w:val="Placeholder Text"/>
    <w:basedOn w:val="DefaultParagraphFont"/>
    <w:uiPriority w:val="99"/>
    <w:semiHidden/>
    <w:rsid w:val="00E6581F"/>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666008">
      <w:bodyDiv w:val="1"/>
      <w:marLeft w:val="0"/>
      <w:marRight w:val="0"/>
      <w:marTop w:val="0"/>
      <w:marBottom w:val="0"/>
      <w:divBdr>
        <w:top w:val="none" w:sz="0" w:space="0" w:color="auto"/>
        <w:left w:val="none" w:sz="0" w:space="0" w:color="auto"/>
        <w:bottom w:val="none" w:sz="0" w:space="0" w:color="auto"/>
        <w:right w:val="none" w:sz="0" w:space="0" w:color="auto"/>
      </w:divBdr>
    </w:div>
    <w:div w:id="603155033">
      <w:bodyDiv w:val="1"/>
      <w:marLeft w:val="0"/>
      <w:marRight w:val="0"/>
      <w:marTop w:val="0"/>
      <w:marBottom w:val="0"/>
      <w:divBdr>
        <w:top w:val="none" w:sz="0" w:space="0" w:color="auto"/>
        <w:left w:val="none" w:sz="0" w:space="0" w:color="auto"/>
        <w:bottom w:val="none" w:sz="0" w:space="0" w:color="auto"/>
        <w:right w:val="none" w:sz="0" w:space="0" w:color="auto"/>
      </w:divBdr>
    </w:div>
    <w:div w:id="726729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nitsawant.hatenablog.com/entry/2025/04/16/203247?_gl=1*1i2a0w3*_gcl_au*NzA0MzAyMjA2LjE3NDI5MDgxOTA" TargetMode="External"/><Relationship Id="rId3" Type="http://schemas.openxmlformats.org/officeDocument/2006/relationships/settings" Target="settings.xml"/><Relationship Id="rId7" Type="http://schemas.openxmlformats.org/officeDocument/2006/relationships/hyperlink" Target="https://vinitsawant.hatenablog.com/entry/2025/04/17/191223?_gl=1*zqh7iu*_gcl_au*NzA0MzAyMjA2LjE3NDI5MDgxOT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report/medical-aesthetics-market" TargetMode="External"/><Relationship Id="rId5" Type="http://schemas.openxmlformats.org/officeDocument/2006/relationships/hyperlink" Target="https://www.skyquestt.com/sample-request/medical-aesthetics-marke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360</Words>
  <Characters>2058</Characters>
  <Application>Microsoft Office Word</Application>
  <DocSecurity>0</DocSecurity>
  <Lines>17</Lines>
  <Paragraphs>4</Paragraphs>
  <ScaleCrop>false</ScaleCrop>
  <Company/>
  <LinksUpToDate>false</LinksUpToDate>
  <CharactersWithSpaces>2414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Kathan  Trivedi</dc:creator>
  <cp:keywords/>
  <dc:description/>
  <cp:lastModifiedBy>Kathan  Trivedi</cp:lastModifiedBy>
  <cp:revision>6</cp:revision>
  <dcterms:created xsi:type="dcterms:W3CDTF">2025-04-22T17:11:00Z</dcterms:created>
  <dcterms:modified xsi:type="dcterms:W3CDTF">2025-04-22T17:21:00Z</dcterms:modified>
</cp:coreProperties>
</file>