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126E9" w14:textId="1C1FB8C0" w:rsidR="00911BF5" w:rsidRPr="00911BF5" w:rsidRDefault="00911BF5" w:rsidP="00911BF5">
      <w:proofErr w:type="spellStart"/>
      <w:r w:rsidRPr="00911BF5">
        <w:rPr>
          <w:b/>
          <w:bCs/>
        </w:rPr>
        <w:t>造影剤市場、戦略的見通し、競合情勢</w:t>
      </w:r>
      <w:proofErr w:type="spellEnd"/>
      <w:r w:rsidRPr="00911BF5">
        <w:rPr>
          <w:b/>
          <w:bCs/>
        </w:rPr>
        <w:t>(2025-2032年)</w:t>
      </w:r>
    </w:p>
    <w:p w14:paraId="345CBEE9" w14:textId="6514C4C9" w:rsidR="00911BF5" w:rsidRDefault="00911BF5" w:rsidP="00911BF5">
      <w:r w:rsidRPr="00911BF5">
        <w:t xml:space="preserve">造影剤市場は、慢性疾患の発生率の増加、画像診断法の改善、および画像診断手順の増加の影響を受けています。それにもかかわらず、市場は副作用への懸念やアレルギー反応を含む安全性などの要因によって抑制されています。市場で目撃されたもう一つの主要な抑制要因には、大幅に価格の造影剤が含まれており、これが発展途上地域での採用を妨げる可能性があります。 </w:t>
      </w:r>
    </w:p>
    <w:p w14:paraId="163A8476" w14:textId="77777777" w:rsidR="00911BF5" w:rsidRPr="00911BF5" w:rsidRDefault="00911BF5" w:rsidP="00911BF5">
      <w:pPr>
        <w:rPr>
          <w:b/>
          <w:bCs/>
        </w:rPr>
      </w:pPr>
      <w:r w:rsidRPr="00911BF5">
        <w:rPr>
          <w:b/>
          <w:bCs/>
        </w:rPr>
        <w:t>造影剤の市場規模は2023年に69億米ドルと評価され、2024年の74億6000万米ドルから2032年までに139億1000万米ドルに成長し、予測期間(2025年から2032年)の間に8.1%のCAGRで成長する態勢を整えています。</w:t>
      </w:r>
    </w:p>
    <w:p w14:paraId="4E41A48B" w14:textId="2D43C6A1" w:rsidR="00911BF5" w:rsidRPr="00911BF5" w:rsidRDefault="00911BF5" w:rsidP="00911BF5">
      <w:r>
        <w:t xml:space="preserve">無料サンプルレポートを入手する: </w:t>
      </w:r>
      <w:hyperlink r:id="rId5" w:history="1">
        <w:r w:rsidRPr="00F92A5F">
          <w:rPr>
            <w:rStyle w:val="Hyperlink"/>
          </w:rPr>
          <w:t>https://www.skyquestt.com/sample-request/contrast-media-market</w:t>
        </w:r>
      </w:hyperlink>
      <w:r>
        <w:t xml:space="preserve"> </w:t>
      </w:r>
    </w:p>
    <w:p w14:paraId="5A424378" w14:textId="77777777" w:rsidR="00911BF5" w:rsidRPr="00911BF5" w:rsidRDefault="00911BF5" w:rsidP="00911BF5">
      <w:pPr>
        <w:rPr>
          <w:b/>
          <w:bCs/>
        </w:rPr>
      </w:pPr>
      <w:r w:rsidRPr="00911BF5">
        <w:rPr>
          <w:b/>
          <w:bCs/>
        </w:rPr>
        <w:t>市場概況</w:t>
      </w:r>
    </w:p>
    <w:p w14:paraId="509D2249" w14:textId="4A37EE79" w:rsidR="00911BF5" w:rsidRPr="00911BF5" w:rsidRDefault="00911BF5" w:rsidP="00911BF5">
      <w:r w:rsidRPr="00911BF5">
        <w:t>造影剤とも呼ばれる造影剤は、X線、CTスキャン、MRI、超音波などの画像技術において、体内構造の視認性を高めるために使用される物質です。それらは、心血管疾患、癌、神経障害など、さまざまな病状の診断精度を向上させる上で重要な役割を果たします。</w:t>
      </w:r>
    </w:p>
    <w:p w14:paraId="37393B70" w14:textId="77777777" w:rsidR="00911BF5" w:rsidRPr="00911BF5" w:rsidRDefault="00911BF5" w:rsidP="00911BF5">
      <w:pPr>
        <w:rPr>
          <w:b/>
          <w:bCs/>
        </w:rPr>
      </w:pPr>
      <w:r w:rsidRPr="00911BF5">
        <w:rPr>
          <w:b/>
          <w:bCs/>
        </w:rPr>
        <w:t>マーケットダイナミクス</w:t>
      </w:r>
    </w:p>
    <w:p w14:paraId="29AA0743" w14:textId="77777777" w:rsidR="00911BF5" w:rsidRPr="00911BF5" w:rsidRDefault="00911BF5" w:rsidP="00911BF5">
      <w:r w:rsidRPr="00911BF5">
        <w:rPr>
          <w:b/>
          <w:bCs/>
        </w:rPr>
        <w:t>ドライバー：</w:t>
      </w:r>
    </w:p>
    <w:p w14:paraId="7AE56B6E" w14:textId="0ECE3328" w:rsidR="00911BF5" w:rsidRPr="00911BF5" w:rsidRDefault="00911BF5" w:rsidP="00911BF5">
      <w:pPr>
        <w:numPr>
          <w:ilvl w:val="0"/>
          <w:numId w:val="1"/>
        </w:numPr>
      </w:pPr>
      <w:r w:rsidRPr="00911BF5">
        <w:rPr>
          <w:b/>
          <w:bCs/>
        </w:rPr>
        <w:t>慢性疾患の有病率の上昇:</w:t>
      </w:r>
      <w:r w:rsidRPr="00911BF5">
        <w:t xml:space="preserve"> 心血管疾患や癌などの慢性疾患の世界的な増加は、画像診断の需要の高まりにつながり、それによって造影剤市場を後押ししています。 </w:t>
      </w:r>
    </w:p>
    <w:p w14:paraId="4E574FD9" w14:textId="77777777" w:rsidR="00911BF5" w:rsidRPr="00911BF5" w:rsidRDefault="00911BF5" w:rsidP="00911BF5">
      <w:pPr>
        <w:numPr>
          <w:ilvl w:val="0"/>
          <w:numId w:val="1"/>
        </w:numPr>
      </w:pPr>
      <w:r w:rsidRPr="00911BF5">
        <w:rPr>
          <w:b/>
          <w:bCs/>
        </w:rPr>
        <w:t>イメージング技術の進歩:</w:t>
      </w:r>
      <w:r w:rsidRPr="00911BF5">
        <w:t xml:space="preserve"> イメージングモダリティの技術革新により、造影剤の有効性が向上し、造影剤は患者にとってより効果的で安全なものになりました。</w:t>
      </w:r>
    </w:p>
    <w:p w14:paraId="069F1F76" w14:textId="77777777" w:rsidR="00911BF5" w:rsidRPr="00911BF5" w:rsidRDefault="00911BF5" w:rsidP="00911BF5">
      <w:pPr>
        <w:numPr>
          <w:ilvl w:val="0"/>
          <w:numId w:val="1"/>
        </w:numPr>
      </w:pPr>
      <w:r w:rsidRPr="00911BF5">
        <w:rPr>
          <w:b/>
          <w:bCs/>
        </w:rPr>
        <w:t>早期診断に対する需要の増加:</w:t>
      </w:r>
      <w:r w:rsidRPr="00911BF5">
        <w:t xml:space="preserve"> 疾患の早期発見が重視される中、造影画像診断法の使用が増加しています。</w:t>
      </w:r>
    </w:p>
    <w:p w14:paraId="2186AD5D" w14:textId="77777777" w:rsidR="00911BF5" w:rsidRPr="00911BF5" w:rsidRDefault="00911BF5" w:rsidP="00911BF5">
      <w:r w:rsidRPr="00911BF5">
        <w:rPr>
          <w:b/>
          <w:bCs/>
        </w:rPr>
        <w:t>拘束：</w:t>
      </w:r>
    </w:p>
    <w:p w14:paraId="46B584CD" w14:textId="29332B48" w:rsidR="00911BF5" w:rsidRPr="00911BF5" w:rsidRDefault="00911BF5" w:rsidP="00911BF5">
      <w:pPr>
        <w:numPr>
          <w:ilvl w:val="0"/>
          <w:numId w:val="2"/>
        </w:numPr>
      </w:pPr>
      <w:r w:rsidRPr="00911BF5">
        <w:rPr>
          <w:b/>
          <w:bCs/>
        </w:rPr>
        <w:t>副作用:</w:t>
      </w:r>
      <w:r w:rsidRPr="00911BF5">
        <w:t xml:space="preserve"> 一部の患者は、造影剤に対する副作用やアレルギー反応を経験することがあり、それにより使用が制限される可能性があります。 </w:t>
      </w:r>
    </w:p>
    <w:p w14:paraId="7768BC03" w14:textId="1A536E65" w:rsidR="00911BF5" w:rsidRPr="00911BF5" w:rsidRDefault="00911BF5" w:rsidP="00911BF5">
      <w:pPr>
        <w:numPr>
          <w:ilvl w:val="0"/>
          <w:numId w:val="2"/>
        </w:numPr>
      </w:pPr>
      <w:r w:rsidRPr="00911BF5">
        <w:rPr>
          <w:b/>
          <w:bCs/>
        </w:rPr>
        <w:t>高コスト:</w:t>
      </w:r>
      <w:r w:rsidRPr="00911BF5">
        <w:t xml:space="preserve"> 高度な造影剤に関連する費用は、特に発展途上地域では障壁となる可能性があります。 </w:t>
      </w:r>
    </w:p>
    <w:p w14:paraId="7AB05D0A" w14:textId="2916E876" w:rsidR="007307F4" w:rsidRPr="007307F4" w:rsidRDefault="007307F4" w:rsidP="007307F4">
      <w:pPr>
        <w:ind w:left="360"/>
      </w:pPr>
      <w:r w:rsidRPr="007307F4">
        <w:lastRenderedPageBreak/>
        <w:t>カスタマイズされたレポートについては、パーソナライゼーションをリクエストするためにお問い合</w:t>
      </w:r>
      <w:proofErr w:type="gramStart"/>
      <w:r w:rsidRPr="007307F4">
        <w:t>わせください:https://www.skyquestt.com/speak-with-analyst/contrast-media-market</w:t>
      </w:r>
      <w:proofErr w:type="gramEnd"/>
      <w:r w:rsidRPr="007307F4">
        <w:t xml:space="preserve"> </w:t>
      </w:r>
      <w:hyperlink r:id="rId6" w:history="1"/>
      <w:r>
        <w:t xml:space="preserve"> </w:t>
      </w:r>
    </w:p>
    <w:p w14:paraId="0801B807" w14:textId="4B75A10D" w:rsidR="00911BF5" w:rsidRPr="00911BF5" w:rsidRDefault="00911BF5" w:rsidP="00911BF5">
      <w:pPr>
        <w:rPr>
          <w:b/>
          <w:bCs/>
        </w:rPr>
      </w:pPr>
      <w:r w:rsidRPr="00911BF5">
        <w:rPr>
          <w:b/>
          <w:bCs/>
        </w:rPr>
        <w:t>セグメント分析</w:t>
      </w:r>
    </w:p>
    <w:p w14:paraId="44FD9E9D" w14:textId="77777777" w:rsidR="00911BF5" w:rsidRPr="00911BF5" w:rsidRDefault="00911BF5" w:rsidP="00911BF5">
      <w:r w:rsidRPr="00911BF5">
        <w:rPr>
          <w:b/>
          <w:bCs/>
        </w:rPr>
        <w:t>タイプ別:</w:t>
      </w:r>
    </w:p>
    <w:p w14:paraId="50BABE1B" w14:textId="58891915" w:rsidR="00911BF5" w:rsidRPr="00911BF5" w:rsidRDefault="00911BF5" w:rsidP="00911BF5">
      <w:pPr>
        <w:numPr>
          <w:ilvl w:val="0"/>
          <w:numId w:val="3"/>
        </w:numPr>
      </w:pPr>
      <w:r w:rsidRPr="00911BF5">
        <w:rPr>
          <w:b/>
          <w:bCs/>
        </w:rPr>
        <w:t>ヨウ素化造影剤:</w:t>
      </w:r>
      <w:r w:rsidRPr="00911BF5">
        <w:t xml:space="preserve"> 2021年に約66.61%のシェアを占め、主にCTおよびX線手術で使用され、市場を支配しました。 </w:t>
      </w:r>
    </w:p>
    <w:p w14:paraId="271C002E" w14:textId="77777777" w:rsidR="00911BF5" w:rsidRPr="00911BF5" w:rsidRDefault="00911BF5" w:rsidP="00911BF5">
      <w:pPr>
        <w:numPr>
          <w:ilvl w:val="0"/>
          <w:numId w:val="3"/>
        </w:numPr>
      </w:pPr>
      <w:r w:rsidRPr="00911BF5">
        <w:rPr>
          <w:b/>
          <w:bCs/>
        </w:rPr>
        <w:t>ガドリニウムベースの造影剤:</w:t>
      </w:r>
      <w:r w:rsidRPr="00911BF5">
        <w:t xml:space="preserve"> MRIスキャン、特に神経学的評価に広く使用されています。</w:t>
      </w:r>
    </w:p>
    <w:p w14:paraId="783FAD8A" w14:textId="77777777" w:rsidR="00911BF5" w:rsidRPr="00911BF5" w:rsidRDefault="00911BF5" w:rsidP="00911BF5">
      <w:pPr>
        <w:numPr>
          <w:ilvl w:val="0"/>
          <w:numId w:val="3"/>
        </w:numPr>
      </w:pPr>
      <w:r w:rsidRPr="00911BF5">
        <w:rPr>
          <w:b/>
          <w:bCs/>
        </w:rPr>
        <w:t>マイクロバブル造影剤:</w:t>
      </w:r>
      <w:r w:rsidRPr="00911BF5">
        <w:t>心血管疾患の超音波画像診断への応用により、急速な成長が見込まれています。</w:t>
      </w:r>
    </w:p>
    <w:p w14:paraId="3DF17640" w14:textId="77777777" w:rsidR="00911BF5" w:rsidRPr="00911BF5" w:rsidRDefault="00911BF5" w:rsidP="00911BF5">
      <w:r w:rsidRPr="00911BF5">
        <w:rPr>
          <w:b/>
          <w:bCs/>
        </w:rPr>
        <w:t>モダリティ別:</w:t>
      </w:r>
    </w:p>
    <w:p w14:paraId="73525D79" w14:textId="44F05402" w:rsidR="00911BF5" w:rsidRPr="00911BF5" w:rsidRDefault="00911BF5" w:rsidP="00911BF5">
      <w:pPr>
        <w:numPr>
          <w:ilvl w:val="0"/>
          <w:numId w:val="4"/>
        </w:numPr>
      </w:pPr>
      <w:r w:rsidRPr="00911BF5">
        <w:rPr>
          <w:b/>
          <w:bCs/>
        </w:rPr>
        <w:t>X線/CT:</w:t>
      </w:r>
      <w:r w:rsidRPr="00911BF5">
        <w:t xml:space="preserve"> さまざまな診断手順で広く使用されているため、2021年には市場の約69.53%を占めています。 </w:t>
      </w:r>
    </w:p>
    <w:p w14:paraId="39D8DE33" w14:textId="50DB4833" w:rsidR="00911BF5" w:rsidRPr="00911BF5" w:rsidRDefault="00911BF5" w:rsidP="00911BF5">
      <w:pPr>
        <w:numPr>
          <w:ilvl w:val="0"/>
          <w:numId w:val="4"/>
        </w:numPr>
      </w:pPr>
      <w:r w:rsidRPr="00911BF5">
        <w:rPr>
          <w:b/>
          <w:bCs/>
        </w:rPr>
        <w:t>超音波:</w:t>
      </w:r>
      <w:r w:rsidRPr="00911BF5">
        <w:t xml:space="preserve"> 組織の可視化を強化するマイクロバブル造影剤の開発により、最も速い速度で成長すると予測されています。 </w:t>
      </w:r>
    </w:p>
    <w:p w14:paraId="4FD10C17" w14:textId="77777777" w:rsidR="00911BF5" w:rsidRPr="00911BF5" w:rsidRDefault="00911BF5" w:rsidP="00911BF5">
      <w:r w:rsidRPr="00911BF5">
        <w:rPr>
          <w:b/>
          <w:bCs/>
        </w:rPr>
        <w:t>アプリケーション別:</w:t>
      </w:r>
    </w:p>
    <w:p w14:paraId="21C9A5B9" w14:textId="00B2B76B" w:rsidR="00911BF5" w:rsidRPr="00911BF5" w:rsidRDefault="00911BF5" w:rsidP="00911BF5">
      <w:pPr>
        <w:numPr>
          <w:ilvl w:val="0"/>
          <w:numId w:val="5"/>
        </w:numPr>
      </w:pPr>
      <w:r w:rsidRPr="00911BF5">
        <w:rPr>
          <w:b/>
          <w:bCs/>
        </w:rPr>
        <w:t>神経疾患:</w:t>
      </w:r>
      <w:r w:rsidRPr="00911BF5">
        <w:t xml:space="preserve"> 2021年の市場シェアの約29.45%を占め、MRI造影剤はCNS評価において重要な役割を果たしています。 </w:t>
      </w:r>
    </w:p>
    <w:p w14:paraId="7E90DFBC" w14:textId="4C3FC2B8" w:rsidR="00911BF5" w:rsidRPr="00911BF5" w:rsidRDefault="00911BF5" w:rsidP="00911BF5">
      <w:pPr>
        <w:numPr>
          <w:ilvl w:val="0"/>
          <w:numId w:val="5"/>
        </w:numPr>
      </w:pPr>
      <w:r w:rsidRPr="00911BF5">
        <w:rPr>
          <w:b/>
          <w:bCs/>
        </w:rPr>
        <w:t>心血管疾患:</w:t>
      </w:r>
      <w:r w:rsidRPr="00911BF5">
        <w:t xml:space="preserve"> 最も速い速度で拡大すると予想されており、造影超音波画像診断が重要な診断ツールとなっています。 </w:t>
      </w:r>
    </w:p>
    <w:p w14:paraId="16E43DE3" w14:textId="77777777" w:rsidR="00911BF5" w:rsidRPr="00911BF5" w:rsidRDefault="00911BF5" w:rsidP="00911BF5">
      <w:pPr>
        <w:rPr>
          <w:b/>
          <w:bCs/>
        </w:rPr>
      </w:pPr>
      <w:r w:rsidRPr="00911BF5">
        <w:rPr>
          <w:b/>
          <w:bCs/>
        </w:rPr>
        <w:t>地域インサイト</w:t>
      </w:r>
    </w:p>
    <w:p w14:paraId="4D26FA6A" w14:textId="5C537970" w:rsidR="00911BF5" w:rsidRPr="00911BF5" w:rsidRDefault="00911BF5" w:rsidP="00911BF5">
      <w:r w:rsidRPr="00911BF5">
        <w:rPr>
          <w:b/>
          <w:bCs/>
        </w:rPr>
        <w:t>北米:</w:t>
      </w:r>
      <w:r w:rsidRPr="00911BF5">
        <w:t xml:space="preserve"> 2021年に約44.44%の最大の市場シェアを保持しましたが、これは確立された医療インフラ、高度なイメージング技術の高い採用、GEヘルスケアやブラッコダイアグノスティックスなどの主要な市場プレーヤーの存在によるものです。 </w:t>
      </w:r>
    </w:p>
    <w:p w14:paraId="1BC0B9ED" w14:textId="3CCEA097" w:rsidR="00911BF5" w:rsidRPr="00911BF5" w:rsidRDefault="00911BF5" w:rsidP="00911BF5">
      <w:r w:rsidRPr="00911BF5">
        <w:rPr>
          <w:b/>
          <w:bCs/>
        </w:rPr>
        <w:t>アジア太平洋地域:</w:t>
      </w:r>
      <w:r w:rsidRPr="00911BF5">
        <w:t>医療投資の増加、早期疾患診断に対する意識の高まり、中国やインドなどの国々での医療ツーリズムの拡大により、大幅な成長が見込まれています。</w:t>
      </w:r>
    </w:p>
    <w:p w14:paraId="58EE411F" w14:textId="143139A1" w:rsidR="007307F4" w:rsidRDefault="007307F4" w:rsidP="00911BF5">
      <w:pPr>
        <w:rPr>
          <w:b/>
          <w:bCs/>
        </w:rPr>
      </w:pPr>
      <w:r w:rsidRPr="007307F4">
        <w:rPr>
          <w:b/>
          <w:bCs/>
        </w:rPr>
        <w:t xml:space="preserve">今すぐ購入して、貴重な洞察で最新情報を入手してください: </w:t>
      </w:r>
      <w:hyperlink r:id="rId7" w:history="1">
        <w:r w:rsidRPr="00F92A5F">
          <w:rPr>
            <w:rStyle w:val="Hyperlink"/>
            <w:b/>
            <w:bCs/>
          </w:rPr>
          <w:t>https://www.skyquestt.com/buy-now/contrast-media-market</w:t>
        </w:r>
      </w:hyperlink>
      <w:r>
        <w:rPr>
          <w:b/>
          <w:bCs/>
        </w:rPr>
        <w:t xml:space="preserve"> </w:t>
      </w:r>
    </w:p>
    <w:p w14:paraId="4BA96D53" w14:textId="68E94AFA" w:rsidR="00911BF5" w:rsidRPr="00911BF5" w:rsidRDefault="00911BF5" w:rsidP="00911BF5">
      <w:pPr>
        <w:rPr>
          <w:b/>
          <w:bCs/>
        </w:rPr>
      </w:pPr>
      <w:r w:rsidRPr="00911BF5">
        <w:rPr>
          <w:b/>
          <w:bCs/>
        </w:rPr>
        <w:lastRenderedPageBreak/>
        <w:t>競合環境</w:t>
      </w:r>
    </w:p>
    <w:p w14:paraId="3DD3D3C8" w14:textId="77777777" w:rsidR="00911BF5" w:rsidRPr="00911BF5" w:rsidRDefault="00911BF5" w:rsidP="00911BF5">
      <w:r w:rsidRPr="00911BF5">
        <w:t>造影剤市場は適度に細分化されており、主要なプレーヤーは市場での地位を強化するために戦略的なコラボレーション、合併、製品革新に注力しています。注目すべき企業は次のとおりです。</w:t>
      </w:r>
    </w:p>
    <w:p w14:paraId="70F7AFDE" w14:textId="77777777" w:rsidR="007307F4" w:rsidRPr="007307F4" w:rsidRDefault="007307F4" w:rsidP="007307F4">
      <w:pPr>
        <w:pStyle w:val="ListParagraph"/>
        <w:numPr>
          <w:ilvl w:val="0"/>
          <w:numId w:val="7"/>
        </w:numPr>
      </w:pPr>
      <w:r w:rsidRPr="007307F4">
        <w:t>Bayer AG (ドイツ)</w:t>
      </w:r>
    </w:p>
    <w:p w14:paraId="6922D500" w14:textId="77777777" w:rsidR="007307F4" w:rsidRPr="007307F4" w:rsidRDefault="007307F4" w:rsidP="007307F4">
      <w:pPr>
        <w:pStyle w:val="ListParagraph"/>
        <w:numPr>
          <w:ilvl w:val="0"/>
          <w:numId w:val="7"/>
        </w:numPr>
      </w:pPr>
      <w:r w:rsidRPr="007307F4">
        <w:t xml:space="preserve">GEヘルスケア(米国) </w:t>
      </w:r>
    </w:p>
    <w:p w14:paraId="78525CDA" w14:textId="77777777" w:rsidR="007307F4" w:rsidRPr="007307F4" w:rsidRDefault="007307F4" w:rsidP="007307F4">
      <w:pPr>
        <w:pStyle w:val="ListParagraph"/>
        <w:numPr>
          <w:ilvl w:val="0"/>
          <w:numId w:val="7"/>
        </w:numPr>
      </w:pPr>
      <w:r w:rsidRPr="007307F4">
        <w:t xml:space="preserve">Bracco Imaging S.p.A.(イタリア) </w:t>
      </w:r>
    </w:p>
    <w:p w14:paraId="0AC12111" w14:textId="77777777" w:rsidR="007307F4" w:rsidRPr="007307F4" w:rsidRDefault="007307F4" w:rsidP="007307F4">
      <w:pPr>
        <w:pStyle w:val="ListParagraph"/>
        <w:numPr>
          <w:ilvl w:val="0"/>
          <w:numId w:val="7"/>
        </w:numPr>
      </w:pPr>
      <w:r w:rsidRPr="007307F4">
        <w:t xml:space="preserve">ゲルベ(フランス) </w:t>
      </w:r>
    </w:p>
    <w:p w14:paraId="2E1E450B" w14:textId="77777777" w:rsidR="007307F4" w:rsidRPr="007307F4" w:rsidRDefault="007307F4" w:rsidP="007307F4">
      <w:pPr>
        <w:pStyle w:val="ListParagraph"/>
        <w:numPr>
          <w:ilvl w:val="0"/>
          <w:numId w:val="7"/>
        </w:numPr>
      </w:pPr>
      <w:proofErr w:type="spellStart"/>
      <w:r w:rsidRPr="007307F4">
        <w:t>Lantheus</w:t>
      </w:r>
      <w:proofErr w:type="spellEnd"/>
      <w:r w:rsidRPr="007307F4">
        <w:t xml:space="preserve"> Holdings, Inc.(</w:t>
      </w:r>
      <w:proofErr w:type="spellStart"/>
      <w:r w:rsidRPr="007307F4">
        <w:t>米国</w:t>
      </w:r>
      <w:proofErr w:type="spellEnd"/>
      <w:r w:rsidRPr="007307F4">
        <w:t xml:space="preserve">) </w:t>
      </w:r>
    </w:p>
    <w:p w14:paraId="5A4B95DB" w14:textId="77777777" w:rsidR="007307F4" w:rsidRPr="007307F4" w:rsidRDefault="007307F4" w:rsidP="007307F4">
      <w:pPr>
        <w:pStyle w:val="ListParagraph"/>
        <w:numPr>
          <w:ilvl w:val="0"/>
          <w:numId w:val="7"/>
        </w:numPr>
      </w:pPr>
      <w:r w:rsidRPr="007307F4">
        <w:t xml:space="preserve">Merck KGaA (ドイツ) </w:t>
      </w:r>
    </w:p>
    <w:p w14:paraId="20C0CAC0" w14:textId="77777777" w:rsidR="007307F4" w:rsidRPr="007307F4" w:rsidRDefault="007307F4" w:rsidP="007307F4">
      <w:pPr>
        <w:pStyle w:val="ListParagraph"/>
        <w:numPr>
          <w:ilvl w:val="0"/>
          <w:numId w:val="7"/>
        </w:numPr>
      </w:pPr>
      <w:r w:rsidRPr="007307F4">
        <w:t xml:space="preserve">富士フイルム株式会社(日本) </w:t>
      </w:r>
    </w:p>
    <w:p w14:paraId="1F2EF993" w14:textId="77777777" w:rsidR="007307F4" w:rsidRPr="007307F4" w:rsidRDefault="007307F4" w:rsidP="007307F4">
      <w:pPr>
        <w:pStyle w:val="ListParagraph"/>
        <w:numPr>
          <w:ilvl w:val="0"/>
          <w:numId w:val="7"/>
        </w:numPr>
      </w:pPr>
      <w:proofErr w:type="spellStart"/>
      <w:r w:rsidRPr="007307F4">
        <w:t>Taejoon</w:t>
      </w:r>
      <w:proofErr w:type="spellEnd"/>
      <w:r w:rsidRPr="007307F4">
        <w:t xml:space="preserve"> Pharm Co., Ltd.(</w:t>
      </w:r>
      <w:proofErr w:type="spellStart"/>
      <w:r w:rsidRPr="007307F4">
        <w:t>韓国</w:t>
      </w:r>
      <w:proofErr w:type="spellEnd"/>
      <w:r w:rsidRPr="007307F4">
        <w:t xml:space="preserve">) </w:t>
      </w:r>
    </w:p>
    <w:p w14:paraId="68293D5D" w14:textId="77777777" w:rsidR="007307F4" w:rsidRPr="007307F4" w:rsidRDefault="007307F4" w:rsidP="007307F4">
      <w:pPr>
        <w:pStyle w:val="ListParagraph"/>
        <w:numPr>
          <w:ilvl w:val="0"/>
          <w:numId w:val="7"/>
        </w:numPr>
      </w:pPr>
      <w:r w:rsidRPr="007307F4">
        <w:t xml:space="preserve">Beijing Beilu Pharmaceutical Co., Ltd.(中国) </w:t>
      </w:r>
    </w:p>
    <w:p w14:paraId="11240522" w14:textId="77777777" w:rsidR="007307F4" w:rsidRPr="007307F4" w:rsidRDefault="007307F4" w:rsidP="007307F4">
      <w:pPr>
        <w:pStyle w:val="ListParagraph"/>
        <w:numPr>
          <w:ilvl w:val="0"/>
          <w:numId w:val="7"/>
        </w:numPr>
      </w:pPr>
      <w:r w:rsidRPr="007307F4">
        <w:t xml:space="preserve">Nano Therapeutics Pvt. Ltd.(インド) </w:t>
      </w:r>
    </w:p>
    <w:p w14:paraId="2DE5B5DB" w14:textId="77777777" w:rsidR="007307F4" w:rsidRPr="007307F4" w:rsidRDefault="007307F4" w:rsidP="007307F4">
      <w:pPr>
        <w:pStyle w:val="ListParagraph"/>
        <w:numPr>
          <w:ilvl w:val="0"/>
          <w:numId w:val="7"/>
        </w:numPr>
      </w:pPr>
      <w:r w:rsidRPr="007307F4">
        <w:t xml:space="preserve">CMC Contrast AB (スウェーデン) </w:t>
      </w:r>
    </w:p>
    <w:p w14:paraId="607E577E" w14:textId="77777777" w:rsidR="007307F4" w:rsidRPr="007307F4" w:rsidRDefault="007307F4" w:rsidP="007307F4">
      <w:pPr>
        <w:pStyle w:val="ListParagraph"/>
        <w:numPr>
          <w:ilvl w:val="0"/>
          <w:numId w:val="7"/>
        </w:numPr>
      </w:pPr>
      <w:r w:rsidRPr="007307F4">
        <w:t xml:space="preserve">Imax Diagnostic Imaging(カナダ) </w:t>
      </w:r>
    </w:p>
    <w:p w14:paraId="69EF5ACE" w14:textId="77777777" w:rsidR="007307F4" w:rsidRPr="007307F4" w:rsidRDefault="007307F4" w:rsidP="007307F4">
      <w:pPr>
        <w:pStyle w:val="ListParagraph"/>
        <w:numPr>
          <w:ilvl w:val="0"/>
          <w:numId w:val="7"/>
        </w:numPr>
      </w:pPr>
      <w:proofErr w:type="spellStart"/>
      <w:r w:rsidRPr="007307F4">
        <w:t>Trivitron</w:t>
      </w:r>
      <w:proofErr w:type="spellEnd"/>
      <w:r w:rsidRPr="007307F4">
        <w:t xml:space="preserve"> Healthcare(</w:t>
      </w:r>
      <w:proofErr w:type="spellStart"/>
      <w:r w:rsidRPr="007307F4">
        <w:t>インド</w:t>
      </w:r>
      <w:proofErr w:type="spellEnd"/>
      <w:r w:rsidRPr="007307F4">
        <w:t xml:space="preserve">) </w:t>
      </w:r>
    </w:p>
    <w:p w14:paraId="1E7B8F78" w14:textId="77777777" w:rsidR="007307F4" w:rsidRPr="007307F4" w:rsidRDefault="007307F4" w:rsidP="007307F4">
      <w:pPr>
        <w:pStyle w:val="ListParagraph"/>
        <w:numPr>
          <w:ilvl w:val="0"/>
          <w:numId w:val="7"/>
        </w:numPr>
      </w:pPr>
      <w:r w:rsidRPr="007307F4">
        <w:t xml:space="preserve">フレゼニウス・カビ(ドイツ) </w:t>
      </w:r>
    </w:p>
    <w:p w14:paraId="053BA106" w14:textId="77777777" w:rsidR="007307F4" w:rsidRPr="007307F4" w:rsidRDefault="007307F4" w:rsidP="007307F4">
      <w:pPr>
        <w:pStyle w:val="ListParagraph"/>
        <w:numPr>
          <w:ilvl w:val="0"/>
          <w:numId w:val="7"/>
        </w:numPr>
      </w:pPr>
      <w:proofErr w:type="spellStart"/>
      <w:r w:rsidRPr="007307F4">
        <w:t>Sanochemia</w:t>
      </w:r>
      <w:proofErr w:type="spellEnd"/>
      <w:r w:rsidRPr="007307F4">
        <w:t xml:space="preserve"> </w:t>
      </w:r>
      <w:proofErr w:type="spellStart"/>
      <w:r w:rsidRPr="007307F4">
        <w:t>Pharmazeutika</w:t>
      </w:r>
      <w:proofErr w:type="spellEnd"/>
      <w:r w:rsidRPr="007307F4">
        <w:t xml:space="preserve"> AG(</w:t>
      </w:r>
      <w:proofErr w:type="spellStart"/>
      <w:r w:rsidRPr="007307F4">
        <w:t>オーストリア</w:t>
      </w:r>
      <w:proofErr w:type="spellEnd"/>
      <w:r w:rsidRPr="007307F4">
        <w:t xml:space="preserve">) </w:t>
      </w:r>
    </w:p>
    <w:p w14:paraId="5B9D2005" w14:textId="77777777" w:rsidR="007307F4" w:rsidRPr="007307F4" w:rsidRDefault="007307F4" w:rsidP="007307F4">
      <w:pPr>
        <w:pStyle w:val="ListParagraph"/>
        <w:numPr>
          <w:ilvl w:val="0"/>
          <w:numId w:val="7"/>
        </w:numPr>
      </w:pPr>
      <w:r w:rsidRPr="007307F4">
        <w:t xml:space="preserve">J.B. Chemicals &amp; Pharmaceuticals Ltd.(インド) </w:t>
      </w:r>
    </w:p>
    <w:p w14:paraId="35E24C8A" w14:textId="77777777" w:rsidR="007307F4" w:rsidRPr="007307F4" w:rsidRDefault="007307F4" w:rsidP="007307F4">
      <w:pPr>
        <w:pStyle w:val="ListParagraph"/>
        <w:numPr>
          <w:ilvl w:val="0"/>
          <w:numId w:val="7"/>
        </w:numPr>
      </w:pPr>
      <w:proofErr w:type="spellStart"/>
      <w:r w:rsidRPr="007307F4">
        <w:t>Jodas</w:t>
      </w:r>
      <w:proofErr w:type="spellEnd"/>
      <w:r w:rsidRPr="007307F4">
        <w:t xml:space="preserve"> </w:t>
      </w:r>
      <w:proofErr w:type="spellStart"/>
      <w:r w:rsidRPr="007307F4">
        <w:t>Expoim</w:t>
      </w:r>
      <w:proofErr w:type="spellEnd"/>
      <w:r w:rsidRPr="007307F4">
        <w:t xml:space="preserve"> Pvt. Ltd.(</w:t>
      </w:r>
      <w:proofErr w:type="spellStart"/>
      <w:r w:rsidRPr="007307F4">
        <w:t>インド</w:t>
      </w:r>
      <w:proofErr w:type="spellEnd"/>
      <w:r w:rsidRPr="007307F4">
        <w:t xml:space="preserve">) </w:t>
      </w:r>
    </w:p>
    <w:p w14:paraId="459F131D" w14:textId="77777777" w:rsidR="007307F4" w:rsidRPr="007307F4" w:rsidRDefault="007307F4" w:rsidP="007307F4">
      <w:pPr>
        <w:pStyle w:val="ListParagraph"/>
        <w:numPr>
          <w:ilvl w:val="0"/>
          <w:numId w:val="7"/>
        </w:numPr>
      </w:pPr>
      <w:proofErr w:type="spellStart"/>
      <w:r w:rsidRPr="007307F4">
        <w:t>Livealth</w:t>
      </w:r>
      <w:proofErr w:type="spellEnd"/>
      <w:r w:rsidRPr="007307F4">
        <w:t xml:space="preserve"> Biopharma(</w:t>
      </w:r>
      <w:proofErr w:type="spellStart"/>
      <w:r w:rsidRPr="007307F4">
        <w:t>中国</w:t>
      </w:r>
      <w:proofErr w:type="spellEnd"/>
      <w:r w:rsidRPr="007307F4">
        <w:t xml:space="preserve">) </w:t>
      </w:r>
    </w:p>
    <w:p w14:paraId="02AD163B" w14:textId="77777777" w:rsidR="007307F4" w:rsidRPr="007307F4" w:rsidRDefault="007307F4" w:rsidP="007307F4">
      <w:pPr>
        <w:pStyle w:val="ListParagraph"/>
        <w:numPr>
          <w:ilvl w:val="0"/>
          <w:numId w:val="7"/>
        </w:numPr>
      </w:pPr>
      <w:r w:rsidRPr="007307F4">
        <w:t xml:space="preserve">Spago Nanomedical AB(スウェーデン) </w:t>
      </w:r>
    </w:p>
    <w:p w14:paraId="7EFCA8F5" w14:textId="77777777" w:rsidR="007307F4" w:rsidRPr="007307F4" w:rsidRDefault="007307F4" w:rsidP="007307F4">
      <w:pPr>
        <w:pStyle w:val="ListParagraph"/>
        <w:numPr>
          <w:ilvl w:val="0"/>
          <w:numId w:val="7"/>
        </w:numPr>
      </w:pPr>
      <w:r w:rsidRPr="007307F4">
        <w:t>Subhra Pharma Pvt. Ltd.(インド)</w:t>
      </w:r>
    </w:p>
    <w:p w14:paraId="59BAA6FE" w14:textId="728BF9D7" w:rsidR="00911BF5" w:rsidRPr="00911BF5" w:rsidRDefault="00911BF5" w:rsidP="007307F4">
      <w:r w:rsidRPr="00911BF5">
        <w:t>これらの企業は、安全性プロファイルを改善し、用途を拡大した高度な造影剤を導入するための研究開発に積極的に投資しています。</w:t>
      </w:r>
    </w:p>
    <w:p w14:paraId="16EBD686" w14:textId="77777777" w:rsidR="007307F4" w:rsidRPr="007307F4" w:rsidRDefault="007307F4" w:rsidP="007307F4">
      <w:pPr>
        <w:rPr>
          <w:b/>
          <w:bCs/>
        </w:rPr>
      </w:pPr>
      <w:r w:rsidRPr="007307F4">
        <w:rPr>
          <w:b/>
          <w:bCs/>
        </w:rPr>
        <w:t>造影剤市場 最近の動向</w:t>
      </w:r>
    </w:p>
    <w:p w14:paraId="70918EB2" w14:textId="77777777" w:rsidR="007307F4" w:rsidRPr="007307F4" w:rsidRDefault="007307F4" w:rsidP="007307F4">
      <w:pPr>
        <w:numPr>
          <w:ilvl w:val="0"/>
          <w:numId w:val="8"/>
        </w:numPr>
      </w:pPr>
      <w:r w:rsidRPr="007307F4">
        <w:t>2023年11月、Bracco Imaging S.p.A.とulrich GmbH Co KGは、Bracco独自の改良型MRインジェクターの米国での供給を支援する新たな長期提携を発表しました。この配布は、選択したプライベートラベルの手順で行われます。</w:t>
      </w:r>
    </w:p>
    <w:p w14:paraId="1B1C2F76" w14:textId="77777777" w:rsidR="007307F4" w:rsidRPr="007307F4" w:rsidRDefault="007307F4" w:rsidP="007307F4">
      <w:pPr>
        <w:numPr>
          <w:ilvl w:val="0"/>
          <w:numId w:val="8"/>
        </w:numPr>
      </w:pPr>
      <w:r w:rsidRPr="007307F4">
        <w:t>2023年1月、バイエルは、CEM(造影マンモグラフィー)用のヨウ素対応造影剤「Ultravist-300™」(-370)について、超音波の有無にかかわらず、またはMRIが利用できない場合や禁忌の代替として承認を受けたと発表しました。</w:t>
      </w:r>
    </w:p>
    <w:p w14:paraId="20F960EF" w14:textId="6C7865A5" w:rsidR="007307F4" w:rsidRPr="007307F4" w:rsidRDefault="007307F4" w:rsidP="00911BF5">
      <w:pPr>
        <w:numPr>
          <w:ilvl w:val="0"/>
          <w:numId w:val="8"/>
        </w:numPr>
      </w:pPr>
      <w:r w:rsidRPr="007307F4">
        <w:lastRenderedPageBreak/>
        <w:t>2023年12月、ゲルベは、欧州連合(EU)でのElucirem™(ガドピクレノール)の販売承認を受けたと宣言しました。これはGBCA(大環状ガドリニウムベースの造影剤)であり、基本的には高レベルの緩和性を持つ造影MRIで使用されます。</w:t>
      </w:r>
    </w:p>
    <w:p w14:paraId="68A533B1" w14:textId="7C77F4DB" w:rsidR="00911BF5" w:rsidRPr="00911BF5" w:rsidRDefault="00911BF5" w:rsidP="00911BF5">
      <w:pPr>
        <w:rPr>
          <w:b/>
          <w:bCs/>
        </w:rPr>
      </w:pPr>
      <w:r w:rsidRPr="00911BF5">
        <w:rPr>
          <w:b/>
          <w:bCs/>
        </w:rPr>
        <w:t>今後の見通し</w:t>
      </w:r>
    </w:p>
    <w:p w14:paraId="6E61D7E4" w14:textId="1CA80599" w:rsidR="004D40C5" w:rsidRDefault="00911BF5">
      <w:r w:rsidRPr="00911BF5">
        <w:t xml:space="preserve">造影剤市場は、技術の進歩、画像診断におけるアプリケーションの拡大、世界的な医療費の増加により、上昇軌道をたどり続けると予想されています。イノベーション、戦略的パートナーシップ、安全上の懸念への対処に重点を置く企業は、この進化する市場で競争力を獲得する可能性があります。 </w:t>
      </w:r>
    </w:p>
    <w:p w14:paraId="266DC0AA" w14:textId="28A34F23" w:rsidR="007307F4" w:rsidRDefault="007307F4">
      <w:r w:rsidRPr="007307F4">
        <w:t xml:space="preserve">レポート全文は、次のWebサイトにアクセスしてください </w:t>
      </w:r>
      <w:hyperlink r:id="rId8" w:history="1">
        <w:r w:rsidRPr="00F92A5F">
          <w:rPr>
            <w:rStyle w:val="Hyperlink"/>
          </w:rPr>
          <w:t>https://www.skyquestt.com/report/contrast-media-market</w:t>
        </w:r>
      </w:hyperlink>
      <w:r>
        <w:t xml:space="preserve"> </w:t>
      </w:r>
    </w:p>
    <w:sectPr w:rsidR="007307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3576D"/>
    <w:multiLevelType w:val="multilevel"/>
    <w:tmpl w:val="7966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4B5C24"/>
    <w:multiLevelType w:val="multilevel"/>
    <w:tmpl w:val="20523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701F61"/>
    <w:multiLevelType w:val="multilevel"/>
    <w:tmpl w:val="07CC8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5B5357"/>
    <w:multiLevelType w:val="hybridMultilevel"/>
    <w:tmpl w:val="CC800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C77985"/>
    <w:multiLevelType w:val="multilevel"/>
    <w:tmpl w:val="6F08E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F96D31"/>
    <w:multiLevelType w:val="multilevel"/>
    <w:tmpl w:val="82DEF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AC054D"/>
    <w:multiLevelType w:val="multilevel"/>
    <w:tmpl w:val="F1D04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D828D1"/>
    <w:multiLevelType w:val="multilevel"/>
    <w:tmpl w:val="21786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1801391">
    <w:abstractNumId w:val="2"/>
  </w:num>
  <w:num w:numId="2" w16cid:durableId="1056197793">
    <w:abstractNumId w:val="5"/>
  </w:num>
  <w:num w:numId="3" w16cid:durableId="1859924365">
    <w:abstractNumId w:val="0"/>
  </w:num>
  <w:num w:numId="4" w16cid:durableId="1018578190">
    <w:abstractNumId w:val="1"/>
  </w:num>
  <w:num w:numId="5" w16cid:durableId="295305481">
    <w:abstractNumId w:val="6"/>
  </w:num>
  <w:num w:numId="6" w16cid:durableId="1293557727">
    <w:abstractNumId w:val="7"/>
  </w:num>
  <w:num w:numId="7" w16cid:durableId="1461875934">
    <w:abstractNumId w:val="3"/>
  </w:num>
  <w:num w:numId="8" w16cid:durableId="7924816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BF5"/>
    <w:rsid w:val="001D01DB"/>
    <w:rsid w:val="00274CDA"/>
    <w:rsid w:val="00320961"/>
    <w:rsid w:val="003F3311"/>
    <w:rsid w:val="004D40C5"/>
    <w:rsid w:val="007307F4"/>
    <w:rsid w:val="00911BF5"/>
    <w:rsid w:val="00B354D8"/>
    <w:rsid w:val="00BB68BD"/>
    <w:rsid w:val="00C15B33"/>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852B0"/>
  <w15:chartTrackingRefBased/>
  <w15:docId w15:val="{38F99358-94FA-4E10-986F-3AD4F2194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1B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1B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1BF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1BF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1BF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1B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1B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1B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1B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BF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1BF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1BF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1BF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1BF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1B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1B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1B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1BF5"/>
    <w:rPr>
      <w:rFonts w:eastAsiaTheme="majorEastAsia" w:cstheme="majorBidi"/>
      <w:color w:val="272727" w:themeColor="text1" w:themeTint="D8"/>
    </w:rPr>
  </w:style>
  <w:style w:type="paragraph" w:styleId="Title">
    <w:name w:val="Title"/>
    <w:basedOn w:val="Normal"/>
    <w:next w:val="Normal"/>
    <w:link w:val="TitleChar"/>
    <w:uiPriority w:val="10"/>
    <w:qFormat/>
    <w:rsid w:val="00911B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1B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1B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1B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1BF5"/>
    <w:pPr>
      <w:spacing w:before="160"/>
      <w:jc w:val="center"/>
    </w:pPr>
    <w:rPr>
      <w:i/>
      <w:iCs/>
      <w:color w:val="404040" w:themeColor="text1" w:themeTint="BF"/>
    </w:rPr>
  </w:style>
  <w:style w:type="character" w:customStyle="1" w:styleId="QuoteChar">
    <w:name w:val="Quote Char"/>
    <w:basedOn w:val="DefaultParagraphFont"/>
    <w:link w:val="Quote"/>
    <w:uiPriority w:val="29"/>
    <w:rsid w:val="00911BF5"/>
    <w:rPr>
      <w:i/>
      <w:iCs/>
      <w:color w:val="404040" w:themeColor="text1" w:themeTint="BF"/>
    </w:rPr>
  </w:style>
  <w:style w:type="paragraph" w:styleId="ListParagraph">
    <w:name w:val="List Paragraph"/>
    <w:basedOn w:val="Normal"/>
    <w:uiPriority w:val="34"/>
    <w:qFormat/>
    <w:rsid w:val="00911BF5"/>
    <w:pPr>
      <w:ind w:left="720"/>
      <w:contextualSpacing/>
    </w:pPr>
  </w:style>
  <w:style w:type="character" w:styleId="IntenseEmphasis">
    <w:name w:val="Intense Emphasis"/>
    <w:basedOn w:val="DefaultParagraphFont"/>
    <w:uiPriority w:val="21"/>
    <w:qFormat/>
    <w:rsid w:val="00911BF5"/>
    <w:rPr>
      <w:i/>
      <w:iCs/>
      <w:color w:val="2F5496" w:themeColor="accent1" w:themeShade="BF"/>
    </w:rPr>
  </w:style>
  <w:style w:type="paragraph" w:styleId="IntenseQuote">
    <w:name w:val="Intense Quote"/>
    <w:basedOn w:val="Normal"/>
    <w:next w:val="Normal"/>
    <w:link w:val="IntenseQuoteChar"/>
    <w:uiPriority w:val="30"/>
    <w:qFormat/>
    <w:rsid w:val="00911B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1BF5"/>
    <w:rPr>
      <w:i/>
      <w:iCs/>
      <w:color w:val="2F5496" w:themeColor="accent1" w:themeShade="BF"/>
    </w:rPr>
  </w:style>
  <w:style w:type="character" w:styleId="IntenseReference">
    <w:name w:val="Intense Reference"/>
    <w:basedOn w:val="DefaultParagraphFont"/>
    <w:uiPriority w:val="32"/>
    <w:qFormat/>
    <w:rsid w:val="00911BF5"/>
    <w:rPr>
      <w:b/>
      <w:bCs/>
      <w:smallCaps/>
      <w:color w:val="2F5496" w:themeColor="accent1" w:themeShade="BF"/>
      <w:spacing w:val="5"/>
    </w:rPr>
  </w:style>
  <w:style w:type="character" w:styleId="Hyperlink">
    <w:name w:val="Hyperlink"/>
    <w:basedOn w:val="DefaultParagraphFont"/>
    <w:uiPriority w:val="99"/>
    <w:unhideWhenUsed/>
    <w:rsid w:val="00911BF5"/>
    <w:rPr>
      <w:color w:val="0563C1" w:themeColor="hyperlink"/>
      <w:u w:val="single"/>
    </w:rPr>
  </w:style>
  <w:style w:type="character" w:styleId="UnresolvedMention">
    <w:name w:val="Unresolved Mention"/>
    <w:basedOn w:val="DefaultParagraphFont"/>
    <w:uiPriority w:val="99"/>
    <w:semiHidden/>
    <w:unhideWhenUsed/>
    <w:rsid w:val="00911BF5"/>
    <w:rPr>
      <w:color w:val="605E5C"/>
      <w:shd w:val="clear" w:color="auto" w:fill="E1DFDD"/>
    </w:rPr>
  </w:style>
  <w:style w:type="character" w:styleId="PlaceholderText">
    <w:name w:val="Placeholder Text"/>
    <w:basedOn w:val="DefaultParagraphFont"/>
    <w:uiPriority w:val="99"/>
    <w:semiHidden/>
    <w:rsid w:val="003F331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535404">
      <w:bodyDiv w:val="1"/>
      <w:marLeft w:val="0"/>
      <w:marRight w:val="0"/>
      <w:marTop w:val="0"/>
      <w:marBottom w:val="0"/>
      <w:divBdr>
        <w:top w:val="none" w:sz="0" w:space="0" w:color="auto"/>
        <w:left w:val="none" w:sz="0" w:space="0" w:color="auto"/>
        <w:bottom w:val="none" w:sz="0" w:space="0" w:color="auto"/>
        <w:right w:val="none" w:sz="0" w:space="0" w:color="auto"/>
      </w:divBdr>
    </w:div>
    <w:div w:id="966474924">
      <w:bodyDiv w:val="1"/>
      <w:marLeft w:val="0"/>
      <w:marRight w:val="0"/>
      <w:marTop w:val="0"/>
      <w:marBottom w:val="0"/>
      <w:divBdr>
        <w:top w:val="none" w:sz="0" w:space="0" w:color="auto"/>
        <w:left w:val="none" w:sz="0" w:space="0" w:color="auto"/>
        <w:bottom w:val="none" w:sz="0" w:space="0" w:color="auto"/>
        <w:right w:val="none" w:sz="0" w:space="0" w:color="auto"/>
      </w:divBdr>
    </w:div>
    <w:div w:id="1075326143">
      <w:bodyDiv w:val="1"/>
      <w:marLeft w:val="0"/>
      <w:marRight w:val="0"/>
      <w:marTop w:val="0"/>
      <w:marBottom w:val="0"/>
      <w:divBdr>
        <w:top w:val="none" w:sz="0" w:space="0" w:color="auto"/>
        <w:left w:val="none" w:sz="0" w:space="0" w:color="auto"/>
        <w:bottom w:val="none" w:sz="0" w:space="0" w:color="auto"/>
        <w:right w:val="none" w:sz="0" w:space="0" w:color="auto"/>
      </w:divBdr>
    </w:div>
    <w:div w:id="1413048226">
      <w:bodyDiv w:val="1"/>
      <w:marLeft w:val="0"/>
      <w:marRight w:val="0"/>
      <w:marTop w:val="0"/>
      <w:marBottom w:val="0"/>
      <w:divBdr>
        <w:top w:val="none" w:sz="0" w:space="0" w:color="auto"/>
        <w:left w:val="none" w:sz="0" w:space="0" w:color="auto"/>
        <w:bottom w:val="none" w:sz="0" w:space="0" w:color="auto"/>
        <w:right w:val="none" w:sz="0" w:space="0" w:color="auto"/>
      </w:divBdr>
    </w:div>
    <w:div w:id="1734812011">
      <w:bodyDiv w:val="1"/>
      <w:marLeft w:val="0"/>
      <w:marRight w:val="0"/>
      <w:marTop w:val="0"/>
      <w:marBottom w:val="0"/>
      <w:divBdr>
        <w:top w:val="none" w:sz="0" w:space="0" w:color="auto"/>
        <w:left w:val="none" w:sz="0" w:space="0" w:color="auto"/>
        <w:bottom w:val="none" w:sz="0" w:space="0" w:color="auto"/>
        <w:right w:val="none" w:sz="0" w:space="0" w:color="auto"/>
      </w:divBdr>
    </w:div>
    <w:div w:id="183456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contrast-media-market" TargetMode="External"/><Relationship Id="rId3" Type="http://schemas.openxmlformats.org/officeDocument/2006/relationships/settings" Target="settings.xml"/><Relationship Id="rId7" Type="http://schemas.openxmlformats.org/officeDocument/2006/relationships/hyperlink" Target="https://www.skyquestt.com/buy-now/contrast-media-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contrast-media-market" TargetMode="External"/><Relationship Id="rId5" Type="http://schemas.openxmlformats.org/officeDocument/2006/relationships/hyperlink" Target="https://www.skyquestt.com/sample-request/contrast-media-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487</Words>
  <Characters>2781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1</cp:revision>
  <dcterms:created xsi:type="dcterms:W3CDTF">2025-05-14T12:50:00Z</dcterms:created>
  <dcterms:modified xsi:type="dcterms:W3CDTF">2025-05-14T13:04:00Z</dcterms:modified>
</cp:coreProperties>
</file>