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A8DA" w14:textId="184AEE01" w:rsidR="008D27EA" w:rsidRPr="008D27EA" w:rsidRDefault="008D27EA" w:rsidP="008D27EA">
      <w:r w:rsidRPr="008D27EA">
        <w:rPr>
          <w:b/>
          <w:bCs/>
        </w:rPr>
        <w:t>モノクローナル抗体市場は、2032年までにCAGR11.5%で6,266億7,000万米ドルを超えると予測されています</w:t>
      </w:r>
    </w:p>
    <w:p w14:paraId="4B421277" w14:textId="77777777" w:rsidR="008D27EA" w:rsidRDefault="008D27EA" w:rsidP="008D27EA">
      <w:r w:rsidRPr="008D27EA">
        <w:t>生物製剤、特にモノクローナル抗体に対する需要の増加は、主にがん、心血管疾患、自己免疫疾患などの慢性疾患の有病率が上昇し続けていることが要因です。このような傾向は、モノクローナル抗体市場の支配的な存在を示すと予測されています。標的治療のためのモノクローナル抗体がかなりの数の医療従事者に働き始めているため、患者や医師の間での意識が高まってきています。</w:t>
      </w:r>
    </w:p>
    <w:p w14:paraId="3B76B280" w14:textId="77777777" w:rsidR="008D27EA" w:rsidRPr="008D27EA" w:rsidRDefault="008D27EA" w:rsidP="008D27EA">
      <w:pPr>
        <w:rPr>
          <w:b/>
          <w:bCs/>
        </w:rPr>
      </w:pPr>
      <w:r w:rsidRPr="008D27EA">
        <w:rPr>
          <w:b/>
          <w:bCs/>
        </w:rPr>
        <w:t>モノクローナル抗体の世界市場規模は、2023年に2,352億7,000万米ドルと評価され、2024年の2,623億3,000万米ドルから2032年には6,266億7,000万米ドルに成長し、予測期間(2025-2032)の間に11.5%のCAGRで成長すると予測されています。</w:t>
      </w:r>
    </w:p>
    <w:p w14:paraId="5147A2F7" w14:textId="188C9DB6" w:rsidR="008D27EA" w:rsidRDefault="008D27EA" w:rsidP="008D27EA">
      <w:r>
        <w:t xml:space="preserve">今すぐ無料サンプルレポートを入手してください: </w:t>
      </w:r>
      <w:hyperlink r:id="rId5" w:history="1">
        <w:r w:rsidRPr="00FE0EC4">
          <w:rPr>
            <w:rStyle w:val="Hyperlink"/>
          </w:rPr>
          <w:t>https://www.skyquestt.com/sample-request/monoclonal-antibodies-market</w:t>
        </w:r>
      </w:hyperlink>
      <w:r>
        <w:t xml:space="preserve"> </w:t>
      </w:r>
    </w:p>
    <w:p w14:paraId="0CDBE055" w14:textId="40CB45F5" w:rsidR="008D27EA" w:rsidRPr="008D27EA" w:rsidRDefault="008D27EA" w:rsidP="008D27EA">
      <w:pPr>
        <w:rPr>
          <w:b/>
          <w:bCs/>
        </w:rPr>
      </w:pPr>
      <w:r w:rsidRPr="008D27EA">
        <w:rPr>
          <w:b/>
          <w:bCs/>
        </w:rPr>
        <w:t>市場概況</w:t>
      </w:r>
    </w:p>
    <w:p w14:paraId="44FB5BC0" w14:textId="788BD215" w:rsidR="008D27EA" w:rsidRPr="008D27EA" w:rsidRDefault="008D27EA" w:rsidP="008D27EA">
      <w:r w:rsidRPr="008D27EA">
        <w:t>モノクローナル抗体は、免疫系の細胞に対する攻撃を回復、強化、または模倣できる代替抗体として機能するように設計された、実験室で製造された分子です。それらは、癌、自己免疫疾患、感染症など、さまざまな慢性疾患の治療にますます利用されています。モノクローナル抗体の特異性により、標的療法が可能になり、健康な細胞への損傷を減らし、患者の転帰を改善することができます。</w:t>
      </w:r>
    </w:p>
    <w:p w14:paraId="79FBB2C8" w14:textId="77777777" w:rsidR="008D27EA" w:rsidRPr="008D27EA" w:rsidRDefault="008D27EA" w:rsidP="008D27EA">
      <w:pPr>
        <w:rPr>
          <w:b/>
          <w:bCs/>
        </w:rPr>
      </w:pPr>
      <w:r w:rsidRPr="008D27EA">
        <w:rPr>
          <w:b/>
          <w:bCs/>
        </w:rPr>
        <w:t>主な市場促進要因</w:t>
      </w:r>
    </w:p>
    <w:p w14:paraId="4806A149" w14:textId="7D86C3E2" w:rsidR="008D27EA" w:rsidRPr="008D27EA" w:rsidRDefault="008D27EA" w:rsidP="008D27EA">
      <w:pPr>
        <w:numPr>
          <w:ilvl w:val="0"/>
          <w:numId w:val="1"/>
        </w:numPr>
      </w:pPr>
      <w:r w:rsidRPr="008D27EA">
        <w:rPr>
          <w:b/>
          <w:bCs/>
        </w:rPr>
        <w:t>慢性疾患の有病率の上昇</w:t>
      </w:r>
      <w:r w:rsidRPr="008D27EA">
        <w:t xml:space="preserve">:がんや自己免疫疾患などの慢性疾患の発生率の増加により、mAbなどの標的療法に対する需要が高まっています。 </w:t>
      </w:r>
    </w:p>
    <w:p w14:paraId="41664676" w14:textId="508C4621" w:rsidR="008D27EA" w:rsidRPr="008D27EA" w:rsidRDefault="008D27EA" w:rsidP="008D27EA">
      <w:pPr>
        <w:numPr>
          <w:ilvl w:val="0"/>
          <w:numId w:val="1"/>
        </w:numPr>
      </w:pPr>
      <w:r w:rsidRPr="008D27EA">
        <w:rPr>
          <w:b/>
          <w:bCs/>
        </w:rPr>
        <w:t>バイオテクノロジーの進歩</w:t>
      </w:r>
      <w:r w:rsidRPr="008D27EA">
        <w:t>:遺伝子工学とバイオテクノロジーの技術革新により、モノクローナル抗体の産生効率と有効性が向上し、治療法がより身近なものになりました。</w:t>
      </w:r>
    </w:p>
    <w:p w14:paraId="1028896C" w14:textId="2F476758" w:rsidR="008D27EA" w:rsidRPr="008D27EA" w:rsidRDefault="008D27EA" w:rsidP="008D27EA">
      <w:pPr>
        <w:numPr>
          <w:ilvl w:val="0"/>
          <w:numId w:val="1"/>
        </w:numPr>
      </w:pPr>
      <w:r w:rsidRPr="008D27EA">
        <w:rPr>
          <w:b/>
          <w:bCs/>
        </w:rPr>
        <w:t>バイオシミラーの出現</w:t>
      </w:r>
      <w:r w:rsidRPr="008D27EA">
        <w:t>:いくつかのモノクローナル抗体の特許が期限切れになったことで、バイオシミラーの市場が開かれ、費用対効果の高い代替品が提供され、競争が激化しています。</w:t>
      </w:r>
    </w:p>
    <w:p w14:paraId="7E2CBDF6" w14:textId="77777777" w:rsidR="008D27EA" w:rsidRPr="008D27EA" w:rsidRDefault="008D27EA" w:rsidP="008D27EA">
      <w:pPr>
        <w:rPr>
          <w:b/>
          <w:bCs/>
        </w:rPr>
      </w:pPr>
      <w:r w:rsidRPr="008D27EA">
        <w:rPr>
          <w:b/>
          <w:bCs/>
        </w:rPr>
        <w:t>市場セグメンテーション</w:t>
      </w:r>
    </w:p>
    <w:p w14:paraId="2950500B" w14:textId="77777777" w:rsidR="008D27EA" w:rsidRDefault="008D27EA" w:rsidP="008D27EA">
      <w:r w:rsidRPr="008D27EA">
        <w:t xml:space="preserve">世界のモノクローナル抗体市場は、ソースタイプ、適応症、生産タイプ、アプリケーション、投与経路、最終用途、および地域によって分割されています。 </w:t>
      </w:r>
    </w:p>
    <w:p w14:paraId="210D3748" w14:textId="77777777" w:rsidR="008D27EA" w:rsidRDefault="008D27EA" w:rsidP="008D27EA">
      <w:pPr>
        <w:pStyle w:val="ListParagraph"/>
        <w:numPr>
          <w:ilvl w:val="0"/>
          <w:numId w:val="6"/>
        </w:numPr>
      </w:pPr>
      <w:r w:rsidRPr="008D27EA">
        <w:lastRenderedPageBreak/>
        <w:t xml:space="preserve">ソースタイプに基づいて、市場はマウス、キメラ、ヒューマナイズド、ヒューマン、その他に分割されます。 </w:t>
      </w:r>
    </w:p>
    <w:p w14:paraId="303BEDBC" w14:textId="77777777" w:rsidR="008D27EA" w:rsidRDefault="008D27EA" w:rsidP="008D27EA">
      <w:pPr>
        <w:pStyle w:val="ListParagraph"/>
        <w:numPr>
          <w:ilvl w:val="0"/>
          <w:numId w:val="6"/>
        </w:numPr>
      </w:pPr>
      <w:r w:rsidRPr="008D27EA">
        <w:t xml:space="preserve">適応症に基づいて、市場は癌、自己免疫疾患、炎症性疾患、感染症などに分割されます。 </w:t>
      </w:r>
    </w:p>
    <w:p w14:paraId="006A6D50" w14:textId="77777777" w:rsidR="008D27EA" w:rsidRDefault="008D27EA" w:rsidP="008D27EA">
      <w:pPr>
        <w:pStyle w:val="ListParagraph"/>
        <w:numPr>
          <w:ilvl w:val="0"/>
          <w:numId w:val="6"/>
        </w:numPr>
      </w:pPr>
      <w:r w:rsidRPr="008D27EA">
        <w:t xml:space="preserve">生産タイプに基づいて、市場はInVivoとInVitroに分割されます。 </w:t>
      </w:r>
    </w:p>
    <w:p w14:paraId="55E8E8D0" w14:textId="77777777" w:rsidR="008D27EA" w:rsidRDefault="008D27EA" w:rsidP="008D27EA">
      <w:pPr>
        <w:pStyle w:val="ListParagraph"/>
        <w:numPr>
          <w:ilvl w:val="0"/>
          <w:numId w:val="6"/>
        </w:numPr>
      </w:pPr>
      <w:r w:rsidRPr="008D27EA">
        <w:t xml:space="preserve">アプリケーションに基づいて、市場は腫瘍学、自己免疫疾患、感染症、神経疾患などに分割されます。 </w:t>
      </w:r>
    </w:p>
    <w:p w14:paraId="058C0120" w14:textId="77777777" w:rsidR="008D27EA" w:rsidRDefault="008D27EA" w:rsidP="008D27EA">
      <w:pPr>
        <w:pStyle w:val="ListParagraph"/>
        <w:numPr>
          <w:ilvl w:val="0"/>
          <w:numId w:val="6"/>
        </w:numPr>
      </w:pPr>
      <w:r w:rsidRPr="008D27EA">
        <w:t xml:space="preserve">投与経路に基づいて、市場は静脈内皮下硝子体内およびその他に分割されます。 </w:t>
      </w:r>
    </w:p>
    <w:p w14:paraId="7F5A29D7" w14:textId="77777777" w:rsidR="008D27EA" w:rsidRDefault="008D27EA" w:rsidP="008D27EA">
      <w:pPr>
        <w:pStyle w:val="ListParagraph"/>
        <w:numPr>
          <w:ilvl w:val="0"/>
          <w:numId w:val="6"/>
        </w:numPr>
      </w:pPr>
      <w:r w:rsidRPr="008D27EA">
        <w:t xml:space="preserve">最終用途に基づいて、市場は病院、専門センター、その他に分割されます。 </w:t>
      </w:r>
    </w:p>
    <w:p w14:paraId="394957A9" w14:textId="6713D834" w:rsidR="008D27EA" w:rsidRPr="008D27EA" w:rsidRDefault="008D27EA" w:rsidP="008D27EA">
      <w:pPr>
        <w:pStyle w:val="ListParagraph"/>
        <w:numPr>
          <w:ilvl w:val="0"/>
          <w:numId w:val="6"/>
        </w:numPr>
      </w:pPr>
      <w:r w:rsidRPr="008D27EA">
        <w:t>地域に基づいて、市場は北米、ヨーロッパ、アジア太平洋、ラテンアメリカ、中東およびアフリカに分割されます。</w:t>
      </w:r>
    </w:p>
    <w:p w14:paraId="5D90718C" w14:textId="5116D28F" w:rsidR="008D27EA" w:rsidRPr="008D27EA" w:rsidRDefault="008D27EA" w:rsidP="008D27EA">
      <w:r w:rsidRPr="008D27EA">
        <w:t xml:space="preserve">カスタマイズされたレポートを入手し、アナリストと話してください: </w:t>
      </w:r>
      <w:hyperlink r:id="rId6" w:history="1">
        <w:r w:rsidRPr="008D27EA">
          <w:rPr>
            <w:rStyle w:val="Hyperlink"/>
          </w:rPr>
          <w:t>https://www.skyquestt.com/speak-with-analyst/monoclonal-antibodies-market</w:t>
        </w:r>
      </w:hyperlink>
      <w:r w:rsidRPr="008D27EA">
        <w:t xml:space="preserve"> </w:t>
      </w:r>
    </w:p>
    <w:p w14:paraId="2108C5E3" w14:textId="4C686FA9" w:rsidR="008D27EA" w:rsidRPr="008D27EA" w:rsidRDefault="008D27EA" w:rsidP="008D27EA">
      <w:pPr>
        <w:rPr>
          <w:b/>
          <w:bCs/>
        </w:rPr>
      </w:pPr>
      <w:r w:rsidRPr="008D27EA">
        <w:rPr>
          <w:b/>
          <w:bCs/>
        </w:rPr>
        <w:t>地域インサイト</w:t>
      </w:r>
    </w:p>
    <w:p w14:paraId="689C5321" w14:textId="693D2DE1" w:rsidR="008D27EA" w:rsidRPr="008D27EA" w:rsidRDefault="008D27EA" w:rsidP="008D27EA">
      <w:pPr>
        <w:numPr>
          <w:ilvl w:val="0"/>
          <w:numId w:val="3"/>
        </w:numPr>
      </w:pPr>
      <w:r w:rsidRPr="008D27EA">
        <w:rPr>
          <w:b/>
          <w:bCs/>
        </w:rPr>
        <w:t>北米</w:t>
      </w:r>
      <w:r w:rsidRPr="008D27EA">
        <w:t>:2023年に最大の市場シェアを保持し、約46.1%を占め、高度な医療インフラ、高い患者意識、研究開発への多額の投資に牽引されています。</w:t>
      </w:r>
    </w:p>
    <w:p w14:paraId="109B003B" w14:textId="704DBE1B" w:rsidR="008D27EA" w:rsidRPr="008D27EA" w:rsidRDefault="008D27EA" w:rsidP="008D27EA">
      <w:pPr>
        <w:numPr>
          <w:ilvl w:val="0"/>
          <w:numId w:val="3"/>
        </w:numPr>
      </w:pPr>
      <w:r w:rsidRPr="008D27EA">
        <w:rPr>
          <w:b/>
          <w:bCs/>
        </w:rPr>
        <w:t>アジア太平洋地域</w:t>
      </w:r>
      <w:r w:rsidRPr="008D27EA">
        <w:t>:インドや中国などの国々での可処分所得の増加、大規模な患者プール、医療への注目の高まりなどにより、予測期間中に12.1%の最速の成長率を示すと予想されています。</w:t>
      </w:r>
    </w:p>
    <w:p w14:paraId="25648BE3" w14:textId="77777777" w:rsidR="008D27EA" w:rsidRPr="008D27EA" w:rsidRDefault="008D27EA" w:rsidP="008D27EA">
      <w:pPr>
        <w:rPr>
          <w:b/>
          <w:bCs/>
        </w:rPr>
      </w:pPr>
      <w:r w:rsidRPr="008D27EA">
        <w:rPr>
          <w:b/>
          <w:bCs/>
        </w:rPr>
        <w:t>キープレーヤー</w:t>
      </w:r>
    </w:p>
    <w:p w14:paraId="1D573CA3" w14:textId="753D2ED4" w:rsidR="008D27EA" w:rsidRPr="008D27EA" w:rsidRDefault="008D27EA" w:rsidP="008D27EA">
      <w:pPr>
        <w:pStyle w:val="ListParagraph"/>
        <w:numPr>
          <w:ilvl w:val="0"/>
          <w:numId w:val="5"/>
        </w:numPr>
      </w:pPr>
      <w:r w:rsidRPr="008D27EA">
        <w:t xml:space="preserve">モノクローナル抗体市場における著名な企業は以下の通りです。 </w:t>
      </w:r>
    </w:p>
    <w:p w14:paraId="5F763C37" w14:textId="77777777" w:rsidR="008D27EA" w:rsidRDefault="008D27EA" w:rsidP="008D27EA">
      <w:pPr>
        <w:pStyle w:val="ListParagraph"/>
        <w:numPr>
          <w:ilvl w:val="0"/>
          <w:numId w:val="5"/>
        </w:numPr>
      </w:pPr>
      <w:r>
        <w:t xml:space="preserve">F. Hoffmann-La Roche Ltd (スイス) </w:t>
      </w:r>
    </w:p>
    <w:p w14:paraId="55F102C4" w14:textId="77777777" w:rsidR="008D27EA" w:rsidRDefault="008D27EA" w:rsidP="008D27EA">
      <w:pPr>
        <w:pStyle w:val="ListParagraph"/>
        <w:numPr>
          <w:ilvl w:val="0"/>
          <w:numId w:val="5"/>
        </w:numPr>
      </w:pPr>
      <w:r>
        <w:t xml:space="preserve">ジョンソン・エンド・ジョンソン (米国) </w:t>
      </w:r>
    </w:p>
    <w:p w14:paraId="1A03EB8D" w14:textId="77777777" w:rsidR="008D27EA" w:rsidRDefault="008D27EA" w:rsidP="008D27EA">
      <w:pPr>
        <w:pStyle w:val="ListParagraph"/>
        <w:numPr>
          <w:ilvl w:val="0"/>
          <w:numId w:val="5"/>
        </w:numPr>
      </w:pPr>
      <w:r>
        <w:t xml:space="preserve">Merck &amp; Co., Inc. (米国) </w:t>
      </w:r>
    </w:p>
    <w:p w14:paraId="23704B9A" w14:textId="77777777" w:rsidR="008D27EA" w:rsidRDefault="008D27EA" w:rsidP="008D27EA">
      <w:pPr>
        <w:pStyle w:val="ListParagraph"/>
        <w:numPr>
          <w:ilvl w:val="0"/>
          <w:numId w:val="5"/>
        </w:numPr>
      </w:pPr>
      <w:r>
        <w:t xml:space="preserve">AbbVie Inc.(米国) </w:t>
      </w:r>
    </w:p>
    <w:p w14:paraId="26112272" w14:textId="77777777" w:rsidR="008D27EA" w:rsidRDefault="008D27EA" w:rsidP="008D27EA">
      <w:pPr>
        <w:pStyle w:val="ListParagraph"/>
        <w:numPr>
          <w:ilvl w:val="0"/>
          <w:numId w:val="5"/>
        </w:numPr>
      </w:pPr>
      <w:r>
        <w:t xml:space="preserve">Amgen Inc.(米国) </w:t>
      </w:r>
    </w:p>
    <w:p w14:paraId="7A633E89" w14:textId="77777777" w:rsidR="008D27EA" w:rsidRDefault="008D27EA" w:rsidP="008D27EA">
      <w:pPr>
        <w:pStyle w:val="ListParagraph"/>
        <w:numPr>
          <w:ilvl w:val="0"/>
          <w:numId w:val="5"/>
        </w:numPr>
      </w:pPr>
      <w:r>
        <w:t xml:space="preserve">Novartis AG (スイス) </w:t>
      </w:r>
    </w:p>
    <w:p w14:paraId="4C6306C7" w14:textId="77777777" w:rsidR="008D27EA" w:rsidRDefault="008D27EA" w:rsidP="008D27EA">
      <w:pPr>
        <w:pStyle w:val="ListParagraph"/>
        <w:numPr>
          <w:ilvl w:val="0"/>
          <w:numId w:val="5"/>
        </w:numPr>
      </w:pPr>
      <w:r>
        <w:t xml:space="preserve">ブリストル・マイヤーズ スクイブ・カンパニー(米国) </w:t>
      </w:r>
    </w:p>
    <w:p w14:paraId="0E07E79F" w14:textId="77777777" w:rsidR="008D27EA" w:rsidRDefault="008D27EA" w:rsidP="008D27EA">
      <w:pPr>
        <w:pStyle w:val="ListParagraph"/>
        <w:numPr>
          <w:ilvl w:val="0"/>
          <w:numId w:val="5"/>
        </w:numPr>
      </w:pPr>
      <w:r>
        <w:t xml:space="preserve">イーライリリー・アンド・カンパニー(米国) </w:t>
      </w:r>
    </w:p>
    <w:p w14:paraId="604D84BE" w14:textId="77777777" w:rsidR="008D27EA" w:rsidRDefault="008D27EA" w:rsidP="008D27EA">
      <w:pPr>
        <w:pStyle w:val="ListParagraph"/>
        <w:numPr>
          <w:ilvl w:val="0"/>
          <w:numId w:val="5"/>
        </w:numPr>
      </w:pPr>
      <w:r>
        <w:t xml:space="preserve">Regeneron Pharmaceuticals Inc.(米国) </w:t>
      </w:r>
    </w:p>
    <w:p w14:paraId="18EA5FE4" w14:textId="77777777" w:rsidR="008D27EA" w:rsidRDefault="008D27EA" w:rsidP="008D27EA">
      <w:pPr>
        <w:pStyle w:val="ListParagraph"/>
        <w:numPr>
          <w:ilvl w:val="0"/>
          <w:numId w:val="5"/>
        </w:numPr>
      </w:pPr>
      <w:r>
        <w:t xml:space="preserve">Biogen Inc.(米国) </w:t>
      </w:r>
    </w:p>
    <w:p w14:paraId="726D72C2" w14:textId="77777777" w:rsidR="008D27EA" w:rsidRDefault="008D27EA" w:rsidP="008D27EA">
      <w:pPr>
        <w:pStyle w:val="ListParagraph"/>
        <w:numPr>
          <w:ilvl w:val="0"/>
          <w:numId w:val="5"/>
        </w:numPr>
      </w:pPr>
      <w:r>
        <w:t xml:space="preserve">UCB S.A. (ベルギー) </w:t>
      </w:r>
    </w:p>
    <w:p w14:paraId="6BD880DF" w14:textId="77777777" w:rsidR="008D27EA" w:rsidRDefault="008D27EA" w:rsidP="008D27EA">
      <w:pPr>
        <w:pStyle w:val="ListParagraph"/>
        <w:numPr>
          <w:ilvl w:val="0"/>
          <w:numId w:val="5"/>
        </w:numPr>
      </w:pPr>
      <w:r>
        <w:t xml:space="preserve">武田薬品工業株式会社(日本) </w:t>
      </w:r>
    </w:p>
    <w:p w14:paraId="6BD4E9B7" w14:textId="77777777" w:rsidR="008D27EA" w:rsidRDefault="008D27EA" w:rsidP="008D27EA">
      <w:pPr>
        <w:pStyle w:val="ListParagraph"/>
        <w:numPr>
          <w:ilvl w:val="0"/>
          <w:numId w:val="5"/>
        </w:numPr>
      </w:pPr>
      <w:r>
        <w:lastRenderedPageBreak/>
        <w:t xml:space="preserve">アストラゼネカPLC(英国) </w:t>
      </w:r>
    </w:p>
    <w:p w14:paraId="6216F150" w14:textId="77777777" w:rsidR="008D27EA" w:rsidRDefault="008D27EA" w:rsidP="008D27EA">
      <w:pPr>
        <w:pStyle w:val="ListParagraph"/>
        <w:numPr>
          <w:ilvl w:val="0"/>
          <w:numId w:val="5"/>
        </w:numPr>
      </w:pPr>
      <w:r>
        <w:t xml:space="preserve">グラクソ・スミスクラインplc (GSK) (英国) </w:t>
      </w:r>
    </w:p>
    <w:p w14:paraId="25347031" w14:textId="77777777" w:rsidR="008D27EA" w:rsidRDefault="008D27EA" w:rsidP="008D27EA">
      <w:pPr>
        <w:pStyle w:val="ListParagraph"/>
        <w:numPr>
          <w:ilvl w:val="0"/>
          <w:numId w:val="5"/>
        </w:numPr>
      </w:pPr>
      <w:r>
        <w:t xml:space="preserve">Bayer AG (ドイツ) </w:t>
      </w:r>
    </w:p>
    <w:p w14:paraId="67C0D161" w14:textId="77777777" w:rsidR="008D27EA" w:rsidRDefault="008D27EA" w:rsidP="008D27EA">
      <w:pPr>
        <w:pStyle w:val="ListParagraph"/>
        <w:numPr>
          <w:ilvl w:val="0"/>
          <w:numId w:val="5"/>
        </w:numPr>
      </w:pPr>
      <w:r>
        <w:t xml:space="preserve">第一三共株式会社(日本) </w:t>
      </w:r>
    </w:p>
    <w:p w14:paraId="6B2D5E50" w14:textId="77777777" w:rsidR="008D27EA" w:rsidRDefault="008D27EA" w:rsidP="008D27EA">
      <w:pPr>
        <w:pStyle w:val="ListParagraph"/>
        <w:numPr>
          <w:ilvl w:val="0"/>
          <w:numId w:val="5"/>
        </w:numPr>
      </w:pPr>
      <w:r>
        <w:t xml:space="preserve">Boehringer Ingelheim International GmbH(ドイツ) </w:t>
      </w:r>
    </w:p>
    <w:p w14:paraId="4688085E" w14:textId="77777777" w:rsidR="008D27EA" w:rsidRDefault="008D27EA" w:rsidP="008D27EA">
      <w:pPr>
        <w:pStyle w:val="ListParagraph"/>
        <w:numPr>
          <w:ilvl w:val="0"/>
          <w:numId w:val="5"/>
        </w:numPr>
      </w:pPr>
      <w:r>
        <w:t xml:space="preserve">Y-mAbs Therapeutics Inc.(米国) </w:t>
      </w:r>
    </w:p>
    <w:p w14:paraId="336A9349" w14:textId="77777777" w:rsidR="008D27EA" w:rsidRDefault="008D27EA" w:rsidP="008D27EA">
      <w:pPr>
        <w:pStyle w:val="ListParagraph"/>
        <w:numPr>
          <w:ilvl w:val="0"/>
          <w:numId w:val="5"/>
        </w:numPr>
      </w:pPr>
      <w:r>
        <w:t>Teva Pharmaceutical Industries Ltd.(イスラエル)</w:t>
      </w:r>
    </w:p>
    <w:p w14:paraId="297E210E" w14:textId="37BEF284" w:rsidR="008D27EA" w:rsidRPr="008D27EA" w:rsidRDefault="008D27EA" w:rsidP="008D27EA">
      <w:pPr>
        <w:rPr>
          <w:b/>
          <w:bCs/>
        </w:rPr>
      </w:pPr>
      <w:r w:rsidRPr="008D27EA">
        <w:rPr>
          <w:b/>
          <w:bCs/>
        </w:rPr>
        <w:t>今後の見通し</w:t>
      </w:r>
    </w:p>
    <w:p w14:paraId="66C6E835" w14:textId="77777777" w:rsidR="008D27EA" w:rsidRPr="008D27EA" w:rsidRDefault="008D27EA" w:rsidP="008D27EA">
      <w:r w:rsidRPr="008D27EA">
        <w:t>モノクローナル抗体市場は、技術の進歩、慢性疾患の有病率の増加、標的療法の需要の高まりに牽引され、大幅な成長を遂げる態勢を整えています。しかし、高い治療費や厳しい規制要件などの課題が市場拡大を妨げる可能性があります。イノベーションと支援政策を通じてこれらの課題に対処することは、持続的な成長にとって極めて重要です。</w:t>
      </w:r>
    </w:p>
    <w:p w14:paraId="5C6DAC3C" w14:textId="558FFCE4" w:rsidR="004D40C5" w:rsidRDefault="008D27EA">
      <w:r w:rsidRPr="008D27EA">
        <w:t xml:space="preserve">包括的な分析については、SkyQuest Technologyによるレポート全文を参照してください </w:t>
      </w:r>
      <w:hyperlink r:id="rId7" w:history="1">
        <w:r w:rsidR="007251E2" w:rsidRPr="00FE0EC4">
          <w:rPr>
            <w:rStyle w:val="Hyperlink"/>
          </w:rPr>
          <w:t>https://www.skyquestt.com/report/monoclonal-antibodies-market</w:t>
        </w:r>
      </w:hyperlink>
      <w:r w:rsidR="007251E2">
        <w:t xml:space="preserve"> </w:t>
      </w:r>
      <w:r w:rsidRPr="008D27EA">
        <w:t xml:space="preserve"> </w:t>
      </w:r>
      <w:hyperlink r:id="rId8" w:history="1"/>
      <w:r>
        <w:t xml:space="preserve"> </w:t>
      </w:r>
    </w:p>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DF6"/>
    <w:multiLevelType w:val="multilevel"/>
    <w:tmpl w:val="C882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31AD9"/>
    <w:multiLevelType w:val="hybridMultilevel"/>
    <w:tmpl w:val="3E70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029EE"/>
    <w:multiLevelType w:val="multilevel"/>
    <w:tmpl w:val="702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D30CF"/>
    <w:multiLevelType w:val="hybridMultilevel"/>
    <w:tmpl w:val="611C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455E2"/>
    <w:multiLevelType w:val="multilevel"/>
    <w:tmpl w:val="F208B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1111B8"/>
    <w:multiLevelType w:val="multilevel"/>
    <w:tmpl w:val="0180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371970">
    <w:abstractNumId w:val="2"/>
  </w:num>
  <w:num w:numId="2" w16cid:durableId="1305618971">
    <w:abstractNumId w:val="4"/>
  </w:num>
  <w:num w:numId="3" w16cid:durableId="1813135045">
    <w:abstractNumId w:val="0"/>
  </w:num>
  <w:num w:numId="4" w16cid:durableId="2126001071">
    <w:abstractNumId w:val="5"/>
  </w:num>
  <w:num w:numId="5" w16cid:durableId="563220704">
    <w:abstractNumId w:val="1"/>
  </w:num>
  <w:num w:numId="6" w16cid:durableId="1265259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EA"/>
    <w:rsid w:val="001A34D5"/>
    <w:rsid w:val="001D01DB"/>
    <w:rsid w:val="00274CDA"/>
    <w:rsid w:val="004D40C5"/>
    <w:rsid w:val="007251E2"/>
    <w:rsid w:val="008D27EA"/>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F8C4"/>
  <w15:chartTrackingRefBased/>
  <w15:docId w15:val="{BE61EE65-9424-4F4D-8144-20876736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7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7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7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7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7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7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7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7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7EA"/>
    <w:rPr>
      <w:rFonts w:eastAsiaTheme="majorEastAsia" w:cstheme="majorBidi"/>
      <w:color w:val="272727" w:themeColor="text1" w:themeTint="D8"/>
    </w:rPr>
  </w:style>
  <w:style w:type="paragraph" w:styleId="Title">
    <w:name w:val="Title"/>
    <w:basedOn w:val="Normal"/>
    <w:next w:val="Normal"/>
    <w:link w:val="TitleChar"/>
    <w:uiPriority w:val="10"/>
    <w:qFormat/>
    <w:rsid w:val="008D2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7EA"/>
    <w:pPr>
      <w:spacing w:before="160"/>
      <w:jc w:val="center"/>
    </w:pPr>
    <w:rPr>
      <w:i/>
      <w:iCs/>
      <w:color w:val="404040" w:themeColor="text1" w:themeTint="BF"/>
    </w:rPr>
  </w:style>
  <w:style w:type="character" w:customStyle="1" w:styleId="QuoteChar">
    <w:name w:val="Quote Char"/>
    <w:basedOn w:val="DefaultParagraphFont"/>
    <w:link w:val="Quote"/>
    <w:uiPriority w:val="29"/>
    <w:rsid w:val="008D27EA"/>
    <w:rPr>
      <w:i/>
      <w:iCs/>
      <w:color w:val="404040" w:themeColor="text1" w:themeTint="BF"/>
    </w:rPr>
  </w:style>
  <w:style w:type="paragraph" w:styleId="ListParagraph">
    <w:name w:val="List Paragraph"/>
    <w:basedOn w:val="Normal"/>
    <w:uiPriority w:val="34"/>
    <w:qFormat/>
    <w:rsid w:val="008D27EA"/>
    <w:pPr>
      <w:ind w:left="720"/>
      <w:contextualSpacing/>
    </w:pPr>
  </w:style>
  <w:style w:type="character" w:styleId="IntenseEmphasis">
    <w:name w:val="Intense Emphasis"/>
    <w:basedOn w:val="DefaultParagraphFont"/>
    <w:uiPriority w:val="21"/>
    <w:qFormat/>
    <w:rsid w:val="008D27EA"/>
    <w:rPr>
      <w:i/>
      <w:iCs/>
      <w:color w:val="2F5496" w:themeColor="accent1" w:themeShade="BF"/>
    </w:rPr>
  </w:style>
  <w:style w:type="paragraph" w:styleId="IntenseQuote">
    <w:name w:val="Intense Quote"/>
    <w:basedOn w:val="Normal"/>
    <w:next w:val="Normal"/>
    <w:link w:val="IntenseQuoteChar"/>
    <w:uiPriority w:val="30"/>
    <w:qFormat/>
    <w:rsid w:val="008D2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7EA"/>
    <w:rPr>
      <w:i/>
      <w:iCs/>
      <w:color w:val="2F5496" w:themeColor="accent1" w:themeShade="BF"/>
    </w:rPr>
  </w:style>
  <w:style w:type="character" w:styleId="IntenseReference">
    <w:name w:val="Intense Reference"/>
    <w:basedOn w:val="DefaultParagraphFont"/>
    <w:uiPriority w:val="32"/>
    <w:qFormat/>
    <w:rsid w:val="008D27EA"/>
    <w:rPr>
      <w:b/>
      <w:bCs/>
      <w:smallCaps/>
      <w:color w:val="2F5496" w:themeColor="accent1" w:themeShade="BF"/>
      <w:spacing w:val="5"/>
    </w:rPr>
  </w:style>
  <w:style w:type="character" w:styleId="Hyperlink">
    <w:name w:val="Hyperlink"/>
    <w:basedOn w:val="DefaultParagraphFont"/>
    <w:uiPriority w:val="99"/>
    <w:unhideWhenUsed/>
    <w:rsid w:val="008D27EA"/>
    <w:rPr>
      <w:color w:val="0563C1" w:themeColor="hyperlink"/>
      <w:u w:val="single"/>
    </w:rPr>
  </w:style>
  <w:style w:type="character" w:styleId="UnresolvedMention">
    <w:name w:val="Unresolved Mention"/>
    <w:basedOn w:val="DefaultParagraphFont"/>
    <w:uiPriority w:val="99"/>
    <w:semiHidden/>
    <w:unhideWhenUsed/>
    <w:rsid w:val="008D27EA"/>
    <w:rPr>
      <w:color w:val="605E5C"/>
      <w:shd w:val="clear" w:color="auto" w:fill="E1DFDD"/>
    </w:rPr>
  </w:style>
  <w:style w:type="character" w:styleId="PlaceholderText">
    <w:name w:val="Placeholder Text"/>
    <w:basedOn w:val="DefaultParagraphFont"/>
    <w:uiPriority w:val="99"/>
    <w:semiHidden/>
    <w:rsid w:val="007251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1694">
      <w:bodyDiv w:val="1"/>
      <w:marLeft w:val="0"/>
      <w:marRight w:val="0"/>
      <w:marTop w:val="0"/>
      <w:marBottom w:val="0"/>
      <w:divBdr>
        <w:top w:val="none" w:sz="0" w:space="0" w:color="auto"/>
        <w:left w:val="none" w:sz="0" w:space="0" w:color="auto"/>
        <w:bottom w:val="none" w:sz="0" w:space="0" w:color="auto"/>
        <w:right w:val="none" w:sz="0" w:space="0" w:color="auto"/>
      </w:divBdr>
    </w:div>
    <w:div w:id="428087386">
      <w:bodyDiv w:val="1"/>
      <w:marLeft w:val="0"/>
      <w:marRight w:val="0"/>
      <w:marTop w:val="0"/>
      <w:marBottom w:val="0"/>
      <w:divBdr>
        <w:top w:val="none" w:sz="0" w:space="0" w:color="auto"/>
        <w:left w:val="none" w:sz="0" w:space="0" w:color="auto"/>
        <w:bottom w:val="none" w:sz="0" w:space="0" w:color="auto"/>
        <w:right w:val="none" w:sz="0" w:space="0" w:color="auto"/>
      </w:divBdr>
    </w:div>
    <w:div w:id="1126974154">
      <w:bodyDiv w:val="1"/>
      <w:marLeft w:val="0"/>
      <w:marRight w:val="0"/>
      <w:marTop w:val="0"/>
      <w:marBottom w:val="0"/>
      <w:divBdr>
        <w:top w:val="none" w:sz="0" w:space="0" w:color="auto"/>
        <w:left w:val="none" w:sz="0" w:space="0" w:color="auto"/>
        <w:bottom w:val="none" w:sz="0" w:space="0" w:color="auto"/>
        <w:right w:val="none" w:sz="0" w:space="0" w:color="auto"/>
      </w:divBdr>
    </w:div>
    <w:div w:id="201765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monoclonal-antibodies-market" TargetMode="External"/><Relationship Id="rId3" Type="http://schemas.openxmlformats.org/officeDocument/2006/relationships/settings" Target="settings.xml"/><Relationship Id="rId7" Type="http://schemas.openxmlformats.org/officeDocument/2006/relationships/hyperlink" Target="https://www.skyquestt.com/report/monoclonal-antibodi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monoclonal-antibodies-market" TargetMode="External"/><Relationship Id="rId5" Type="http://schemas.openxmlformats.org/officeDocument/2006/relationships/hyperlink" Target="https://www.skyquestt.com/sample-request/monoclonal-antibodi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2025-05-20T04:33:00Z</dcterms:created>
  <dcterms:modified xsi:type="dcterms:W3CDTF">2025-05-20T04:39:00Z</dcterms:modified>
</cp:coreProperties>
</file>