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10036" w14:textId="2A86AA33" w:rsidR="000144D1" w:rsidRDefault="000144D1" w:rsidP="000144D1">
      <w:pPr>
        <w:rPr>
          <w:b/>
          <w:bCs/>
        </w:rPr>
      </w:pPr>
      <w:r w:rsidRPr="000144D1">
        <w:rPr>
          <w:b/>
          <w:bCs/>
        </w:rPr>
        <w:t>バイオインフォマティクス市場は2032年までに362億6000万米ドルに達し、CAGR13.5%で成長すると予測</w:t>
      </w:r>
    </w:p>
    <w:p w14:paraId="217CFDA3" w14:textId="511F9D43" w:rsidR="000144D1" w:rsidRPr="000144D1" w:rsidRDefault="000144D1" w:rsidP="000144D1">
      <w:r w:rsidRPr="000144D1">
        <w:t>新薬の研究と研究開発活動を支援するための民間および公共投資イニシアチブの増加は、予測期間中の市場の主要な推進力になると予想されます。さらに、RasMol、AUTODOCK、BALL、Bioclipseなどのユーザーフレンドリーで簡単にアクセスできるバイオインフォマティクスソフトウェア、および市場でのこれらのツールの広範な使用。</w:t>
      </w:r>
    </w:p>
    <w:p w14:paraId="536A4FC3" w14:textId="77777777" w:rsidR="000144D1" w:rsidRPr="000144D1" w:rsidRDefault="000144D1" w:rsidP="000144D1">
      <w:r w:rsidRPr="000144D1">
        <w:t>バイオインフォマティクスのソフトウェアとツールは、データ分析のためのアルゴリズムと統計的手法を提供し、データ管理の統合を支援する統合ソリューションとして使用されています。市場での研究開発プログラムの増加、およびその他の関連する「オミクス」分野は、データストレージと分析の要件を通じて市場の成長をさらにサポートすることが期待されています。</w:t>
      </w:r>
    </w:p>
    <w:p w14:paraId="25FC38F9" w14:textId="08CD61C7" w:rsidR="000144D1" w:rsidRDefault="000144D1" w:rsidP="000144D1">
      <w:pPr>
        <w:rPr>
          <w:b/>
          <w:bCs/>
        </w:rPr>
      </w:pPr>
      <w:r w:rsidRPr="000144D1">
        <w:rPr>
          <w:b/>
          <w:bCs/>
        </w:rPr>
        <w:t>世界のバイオインフォマティクス市場規模は2023年に116億米ドルと評価され、2024年の131億7000万米ドルから2032年までに362億6000万米ドルに成長し、予測期間(2025年から2032年)の間に13.5%のCAGRで成長する態勢を整えています。</w:t>
      </w:r>
    </w:p>
    <w:p w14:paraId="54F540C2" w14:textId="087FB2D5" w:rsidR="000144D1" w:rsidRDefault="000144D1" w:rsidP="000144D1">
      <w:pPr>
        <w:rPr>
          <w:b/>
          <w:bCs/>
        </w:rPr>
      </w:pPr>
      <w:r>
        <w:rPr>
          <w:b/>
          <w:bCs/>
        </w:rPr>
        <w:t xml:space="preserve">無料サンプルレポートを入手: </w:t>
      </w:r>
      <w:hyperlink r:id="rId5" w:history="1">
        <w:r w:rsidRPr="008115EE">
          <w:rPr>
            <w:rStyle w:val="Hyperlink"/>
            <w:b/>
            <w:bCs/>
          </w:rPr>
          <w:t>https://www.skyquestt.com/sample-request/bioinformatics-market</w:t>
        </w:r>
      </w:hyperlink>
      <w:r>
        <w:rPr>
          <w:b/>
          <w:bCs/>
        </w:rPr>
        <w:t xml:space="preserve"> </w:t>
      </w:r>
    </w:p>
    <w:p w14:paraId="3C8F97EC" w14:textId="21E478A6" w:rsidR="000144D1" w:rsidRPr="000144D1" w:rsidRDefault="000144D1" w:rsidP="000144D1">
      <w:pPr>
        <w:rPr>
          <w:b/>
          <w:bCs/>
        </w:rPr>
      </w:pPr>
      <w:r w:rsidRPr="000144D1">
        <w:rPr>
          <w:b/>
          <w:bCs/>
        </w:rPr>
        <w:t>主な市場促進要因</w:t>
      </w:r>
    </w:p>
    <w:p w14:paraId="6BC41365" w14:textId="77777777" w:rsidR="000144D1" w:rsidRPr="000144D1" w:rsidRDefault="000144D1" w:rsidP="000144D1">
      <w:pPr>
        <w:numPr>
          <w:ilvl w:val="0"/>
          <w:numId w:val="1"/>
        </w:numPr>
      </w:pPr>
      <w:r w:rsidRPr="000144D1">
        <w:rPr>
          <w:b/>
          <w:bCs/>
        </w:rPr>
        <w:t>ゲノム研究の台頭</w:t>
      </w:r>
      <w:r w:rsidRPr="000144D1">
        <w:t>:ゲノムシーケンシングの手頃な価格の増加とゲノムデータの爆発的な増加により、バイオインフォマティクスはデータの保存、検索、および分析に不可欠になっています。アプリケーションには、遺伝子マッピング、ゲノムアノテーション、および個別化された遺伝子検査が含まれます。</w:t>
      </w:r>
    </w:p>
    <w:p w14:paraId="5C2901A6" w14:textId="77777777" w:rsidR="000144D1" w:rsidRPr="000144D1" w:rsidRDefault="000144D1" w:rsidP="000144D1">
      <w:pPr>
        <w:numPr>
          <w:ilvl w:val="0"/>
          <w:numId w:val="1"/>
        </w:numPr>
      </w:pPr>
      <w:r w:rsidRPr="000144D1">
        <w:rPr>
          <w:b/>
          <w:bCs/>
        </w:rPr>
        <w:t>創薬の進歩</w:t>
      </w:r>
      <w:r w:rsidRPr="000144D1">
        <w:t>:バイオインフォマティクスツールは、創薬標的の同定、分子モデリング、シミュレーションを可能にすることで、創薬プロセスを合理化し、時間とコストを削減しています。</w:t>
      </w:r>
    </w:p>
    <w:p w14:paraId="2C31362A" w14:textId="77777777" w:rsidR="000144D1" w:rsidRPr="000144D1" w:rsidRDefault="000144D1" w:rsidP="000144D1">
      <w:pPr>
        <w:numPr>
          <w:ilvl w:val="0"/>
          <w:numId w:val="1"/>
        </w:numPr>
      </w:pPr>
      <w:r w:rsidRPr="000144D1">
        <w:rPr>
          <w:b/>
          <w:bCs/>
        </w:rPr>
        <w:t>個別化医療の採用</w:t>
      </w:r>
      <w:r w:rsidRPr="000144D1">
        <w:t>:医療が個別化治療に移行する中、バイオインフォマティクスは、個々の遺伝子プロファイルに基づいて治療法を調整する上で重要な役割を果たします。</w:t>
      </w:r>
    </w:p>
    <w:p w14:paraId="19F048A9" w14:textId="365EC1E3" w:rsidR="000144D1" w:rsidRPr="000144D1" w:rsidRDefault="000144D1" w:rsidP="000144D1">
      <w:pPr>
        <w:numPr>
          <w:ilvl w:val="0"/>
          <w:numId w:val="1"/>
        </w:numPr>
      </w:pPr>
      <w:r w:rsidRPr="000144D1">
        <w:rPr>
          <w:b/>
          <w:bCs/>
        </w:rPr>
        <w:t>AIと機械学習との統合</w:t>
      </w:r>
      <w:r w:rsidRPr="000144D1">
        <w:t>:人工知能とバイオインフォマティクスの相乗効果により、予測分析、疾患モデリング、バイオマーカーの発見が強化され、診断と治療法開発のイノベーションが推進されます。</w:t>
      </w:r>
    </w:p>
    <w:p w14:paraId="32204B58" w14:textId="77777777" w:rsidR="000144D1" w:rsidRPr="000144D1" w:rsidRDefault="000144D1" w:rsidP="000144D1">
      <w:pPr>
        <w:rPr>
          <w:b/>
          <w:bCs/>
        </w:rPr>
      </w:pPr>
      <w:r w:rsidRPr="000144D1">
        <w:rPr>
          <w:b/>
          <w:bCs/>
        </w:rPr>
        <w:t>市場セグメンテーション</w:t>
      </w:r>
    </w:p>
    <w:p w14:paraId="1BF7418B" w14:textId="77777777" w:rsidR="000144D1" w:rsidRPr="000144D1" w:rsidRDefault="000144D1" w:rsidP="000144D1">
      <w:pPr>
        <w:numPr>
          <w:ilvl w:val="0"/>
          <w:numId w:val="2"/>
        </w:numPr>
      </w:pPr>
      <w:r w:rsidRPr="000144D1">
        <w:rPr>
          <w:b/>
          <w:bCs/>
        </w:rPr>
        <w:lastRenderedPageBreak/>
        <w:t>製品およびサービス別</w:t>
      </w:r>
      <w:r w:rsidRPr="000144D1">
        <w:t>:</w:t>
      </w:r>
    </w:p>
    <w:p w14:paraId="779A2B6A" w14:textId="77777777" w:rsidR="000144D1" w:rsidRPr="000144D1" w:rsidRDefault="000144D1" w:rsidP="000144D1">
      <w:pPr>
        <w:numPr>
          <w:ilvl w:val="1"/>
          <w:numId w:val="2"/>
        </w:numPr>
      </w:pPr>
      <w:r w:rsidRPr="000144D1">
        <w:t>バイオインフォマティクスプラットフォーム</w:t>
      </w:r>
    </w:p>
    <w:p w14:paraId="70806B01" w14:textId="77777777" w:rsidR="000144D1" w:rsidRPr="000144D1" w:rsidRDefault="000144D1" w:rsidP="000144D1">
      <w:pPr>
        <w:numPr>
          <w:ilvl w:val="1"/>
          <w:numId w:val="2"/>
        </w:numPr>
      </w:pPr>
      <w:r w:rsidRPr="000144D1">
        <w:t>ナレッジ管理ツール</w:t>
      </w:r>
    </w:p>
    <w:p w14:paraId="0995FBFA" w14:textId="77777777" w:rsidR="000144D1" w:rsidRPr="000144D1" w:rsidRDefault="000144D1" w:rsidP="000144D1">
      <w:pPr>
        <w:numPr>
          <w:ilvl w:val="1"/>
          <w:numId w:val="2"/>
        </w:numPr>
      </w:pPr>
      <w:r w:rsidRPr="000144D1">
        <w:t>バイオインフォマティクスサービス</w:t>
      </w:r>
    </w:p>
    <w:p w14:paraId="59F06DFA" w14:textId="77777777" w:rsidR="000144D1" w:rsidRPr="000144D1" w:rsidRDefault="000144D1" w:rsidP="000144D1">
      <w:pPr>
        <w:numPr>
          <w:ilvl w:val="0"/>
          <w:numId w:val="2"/>
        </w:numPr>
      </w:pPr>
      <w:r w:rsidRPr="000144D1">
        <w:rPr>
          <w:b/>
          <w:bCs/>
        </w:rPr>
        <w:t>アプリケーション別</w:t>
      </w:r>
      <w:r w:rsidRPr="000144D1">
        <w:t>:</w:t>
      </w:r>
    </w:p>
    <w:p w14:paraId="77B7E696" w14:textId="77777777" w:rsidR="000144D1" w:rsidRPr="000144D1" w:rsidRDefault="000144D1" w:rsidP="000144D1">
      <w:pPr>
        <w:numPr>
          <w:ilvl w:val="1"/>
          <w:numId w:val="2"/>
        </w:numPr>
      </w:pPr>
      <w:r w:rsidRPr="000144D1">
        <w:t>ゲノミクス</w:t>
      </w:r>
    </w:p>
    <w:p w14:paraId="6515EF5E" w14:textId="77777777" w:rsidR="000144D1" w:rsidRPr="000144D1" w:rsidRDefault="000144D1" w:rsidP="000144D1">
      <w:pPr>
        <w:numPr>
          <w:ilvl w:val="1"/>
          <w:numId w:val="2"/>
        </w:numPr>
      </w:pPr>
      <w:proofErr w:type="spellStart"/>
      <w:r w:rsidRPr="000144D1">
        <w:t>ケモインフォマティクス&amp;ドラッグデザイン</w:t>
      </w:r>
      <w:proofErr w:type="spellEnd"/>
    </w:p>
    <w:p w14:paraId="158CD220" w14:textId="77777777" w:rsidR="000144D1" w:rsidRPr="000144D1" w:rsidRDefault="000144D1" w:rsidP="000144D1">
      <w:pPr>
        <w:numPr>
          <w:ilvl w:val="1"/>
          <w:numId w:val="2"/>
        </w:numPr>
      </w:pPr>
      <w:r w:rsidRPr="000144D1">
        <w:t>トランスクリプトミクス</w:t>
      </w:r>
    </w:p>
    <w:p w14:paraId="5665DB75" w14:textId="77777777" w:rsidR="000144D1" w:rsidRPr="000144D1" w:rsidRDefault="000144D1" w:rsidP="000144D1">
      <w:pPr>
        <w:numPr>
          <w:ilvl w:val="1"/>
          <w:numId w:val="2"/>
        </w:numPr>
      </w:pPr>
      <w:r w:rsidRPr="000144D1">
        <w:t>メタボロミクス</w:t>
      </w:r>
    </w:p>
    <w:p w14:paraId="1CA0FC6F" w14:textId="77777777" w:rsidR="000144D1" w:rsidRPr="000144D1" w:rsidRDefault="000144D1" w:rsidP="000144D1">
      <w:pPr>
        <w:numPr>
          <w:ilvl w:val="1"/>
          <w:numId w:val="2"/>
        </w:numPr>
      </w:pPr>
      <w:r w:rsidRPr="000144D1">
        <w:t>プロテオミクス</w:t>
      </w:r>
    </w:p>
    <w:p w14:paraId="6700FB80" w14:textId="77777777" w:rsidR="000144D1" w:rsidRPr="000144D1" w:rsidRDefault="000144D1" w:rsidP="000144D1">
      <w:pPr>
        <w:numPr>
          <w:ilvl w:val="1"/>
          <w:numId w:val="2"/>
        </w:numPr>
      </w:pPr>
      <w:r w:rsidRPr="000144D1">
        <w:t>余人</w:t>
      </w:r>
    </w:p>
    <w:p w14:paraId="2BBD3ACA" w14:textId="77777777" w:rsidR="000144D1" w:rsidRPr="000144D1" w:rsidRDefault="000144D1" w:rsidP="000144D1">
      <w:pPr>
        <w:numPr>
          <w:ilvl w:val="0"/>
          <w:numId w:val="2"/>
        </w:numPr>
      </w:pPr>
      <w:r w:rsidRPr="000144D1">
        <w:rPr>
          <w:b/>
          <w:bCs/>
        </w:rPr>
        <w:t>セクター別</w:t>
      </w:r>
      <w:r w:rsidRPr="000144D1">
        <w:t>:</w:t>
      </w:r>
    </w:p>
    <w:p w14:paraId="15851055" w14:textId="77777777" w:rsidR="000144D1" w:rsidRPr="000144D1" w:rsidRDefault="000144D1" w:rsidP="000144D1">
      <w:pPr>
        <w:numPr>
          <w:ilvl w:val="1"/>
          <w:numId w:val="2"/>
        </w:numPr>
      </w:pPr>
      <w:r w:rsidRPr="000144D1">
        <w:t>メディカルバイオテクノロジー</w:t>
      </w:r>
    </w:p>
    <w:p w14:paraId="2CD04228" w14:textId="77777777" w:rsidR="000144D1" w:rsidRPr="000144D1" w:rsidRDefault="000144D1" w:rsidP="000144D1">
      <w:pPr>
        <w:numPr>
          <w:ilvl w:val="1"/>
          <w:numId w:val="2"/>
        </w:numPr>
      </w:pPr>
      <w:r w:rsidRPr="000144D1">
        <w:t>学者</w:t>
      </w:r>
    </w:p>
    <w:p w14:paraId="4C86B1A0" w14:textId="77777777" w:rsidR="000144D1" w:rsidRPr="000144D1" w:rsidRDefault="000144D1" w:rsidP="000144D1">
      <w:pPr>
        <w:numPr>
          <w:ilvl w:val="1"/>
          <w:numId w:val="2"/>
        </w:numPr>
      </w:pPr>
      <w:r w:rsidRPr="000144D1">
        <w:t>動物バイオテクノロジー</w:t>
      </w:r>
    </w:p>
    <w:p w14:paraId="665930B2" w14:textId="77777777" w:rsidR="000144D1" w:rsidRPr="000144D1" w:rsidRDefault="000144D1" w:rsidP="000144D1">
      <w:pPr>
        <w:numPr>
          <w:ilvl w:val="1"/>
          <w:numId w:val="2"/>
        </w:numPr>
      </w:pPr>
      <w:r w:rsidRPr="000144D1">
        <w:t>環境バイオテクノロジー</w:t>
      </w:r>
    </w:p>
    <w:p w14:paraId="06AE1A3F" w14:textId="77777777" w:rsidR="000144D1" w:rsidRPr="000144D1" w:rsidRDefault="000144D1" w:rsidP="000144D1">
      <w:pPr>
        <w:numPr>
          <w:ilvl w:val="1"/>
          <w:numId w:val="2"/>
        </w:numPr>
      </w:pPr>
      <w:r w:rsidRPr="000144D1">
        <w:t>農業バイオテクノロジー</w:t>
      </w:r>
    </w:p>
    <w:p w14:paraId="6BDAA301" w14:textId="01E1EE1E" w:rsidR="000144D1" w:rsidRPr="000144D1" w:rsidRDefault="000144D1" w:rsidP="000144D1">
      <w:pPr>
        <w:numPr>
          <w:ilvl w:val="1"/>
          <w:numId w:val="2"/>
        </w:numPr>
      </w:pPr>
      <w:r w:rsidRPr="000144D1">
        <w:t>フォレンジックバイオテクノロジー</w:t>
      </w:r>
    </w:p>
    <w:p w14:paraId="3DAC44D7" w14:textId="77777777" w:rsidR="000144D1" w:rsidRPr="000144D1" w:rsidRDefault="000144D1" w:rsidP="000144D1">
      <w:pPr>
        <w:rPr>
          <w:b/>
          <w:bCs/>
        </w:rPr>
      </w:pPr>
      <w:r w:rsidRPr="000144D1">
        <w:rPr>
          <w:b/>
          <w:bCs/>
        </w:rPr>
        <w:t>地域インサイト</w:t>
      </w:r>
    </w:p>
    <w:p w14:paraId="14D9C01A" w14:textId="77777777" w:rsidR="000144D1" w:rsidRPr="000144D1" w:rsidRDefault="000144D1" w:rsidP="000144D1">
      <w:pPr>
        <w:numPr>
          <w:ilvl w:val="0"/>
          <w:numId w:val="3"/>
        </w:numPr>
      </w:pPr>
      <w:r w:rsidRPr="000144D1">
        <w:rPr>
          <w:b/>
          <w:bCs/>
        </w:rPr>
        <w:t>北米がリード:</w:t>
      </w:r>
      <w:r w:rsidRPr="000144D1">
        <w:t>この地域は、多額の研究開発投資、強力なインフラストラクチャ、バイオインフォマティクス企業や研究機関の大規模な存在により、世界市場を支配しています。</w:t>
      </w:r>
    </w:p>
    <w:p w14:paraId="4C0E5E69" w14:textId="1270431A" w:rsidR="000144D1" w:rsidRPr="000144D1" w:rsidRDefault="000144D1" w:rsidP="000144D1">
      <w:pPr>
        <w:numPr>
          <w:ilvl w:val="0"/>
          <w:numId w:val="3"/>
        </w:numPr>
      </w:pPr>
      <w:r w:rsidRPr="000144D1">
        <w:rPr>
          <w:b/>
          <w:bCs/>
        </w:rPr>
        <w:t>アジア太平洋地域は最も急成長している地域として浮上</w:t>
      </w:r>
      <w:r w:rsidRPr="000144D1">
        <w:t>:ゲノミクス研究の増加、政府の支援、中国、インド、日本などの国々での成長するバイオテクノロジー産業に牽引されています。</w:t>
      </w:r>
    </w:p>
    <w:p w14:paraId="5E48B983" w14:textId="77777777" w:rsidR="000144D1" w:rsidRPr="000144D1" w:rsidRDefault="000144D1" w:rsidP="000144D1">
      <w:pPr>
        <w:rPr>
          <w:b/>
          <w:bCs/>
        </w:rPr>
      </w:pPr>
      <w:r w:rsidRPr="000144D1">
        <w:rPr>
          <w:b/>
          <w:bCs/>
        </w:rPr>
        <w:t>最近のトレンドとイノベーション</w:t>
      </w:r>
    </w:p>
    <w:p w14:paraId="2701B3F4" w14:textId="77777777" w:rsidR="000144D1" w:rsidRPr="000144D1" w:rsidRDefault="000144D1" w:rsidP="000144D1">
      <w:pPr>
        <w:numPr>
          <w:ilvl w:val="0"/>
          <w:numId w:val="4"/>
        </w:numPr>
      </w:pPr>
      <w:r w:rsidRPr="000144D1">
        <w:lastRenderedPageBreak/>
        <w:t>クラウドベースのバイオインフォマティクスプラットフォームは、スケーラブルなリモートデータ分析のために人気を集めています。</w:t>
      </w:r>
    </w:p>
    <w:p w14:paraId="0761578F" w14:textId="77777777" w:rsidR="000144D1" w:rsidRPr="000144D1" w:rsidRDefault="000144D1" w:rsidP="000144D1">
      <w:pPr>
        <w:numPr>
          <w:ilvl w:val="0"/>
          <w:numId w:val="4"/>
        </w:numPr>
      </w:pPr>
      <w:r w:rsidRPr="000144D1">
        <w:t>AIベースの創薬プラットフォームを開発するために、テクノロジーの巨人とバイオテクノロジー企業とのコラボレーションが増加しています。</w:t>
      </w:r>
    </w:p>
    <w:p w14:paraId="18B85748" w14:textId="510C60CB" w:rsidR="000144D1" w:rsidRPr="000144D1" w:rsidRDefault="000144D1" w:rsidP="000144D1">
      <w:pPr>
        <w:numPr>
          <w:ilvl w:val="0"/>
          <w:numId w:val="4"/>
        </w:numPr>
      </w:pPr>
      <w:r w:rsidRPr="000144D1">
        <w:t>オープンソースのバイオインフォマティクスツールとプラットフォームは、世界中で学術研究と臨床研究を奨励しています。</w:t>
      </w:r>
    </w:p>
    <w:p w14:paraId="72F924D8" w14:textId="77777777" w:rsidR="000144D1" w:rsidRPr="000144D1" w:rsidRDefault="000144D1" w:rsidP="000144D1">
      <w:pPr>
        <w:rPr>
          <w:b/>
          <w:bCs/>
        </w:rPr>
      </w:pPr>
      <w:r w:rsidRPr="000144D1">
        <w:rPr>
          <w:b/>
          <w:bCs/>
        </w:rPr>
        <w:t>課題</w:t>
      </w:r>
    </w:p>
    <w:p w14:paraId="5B075B71" w14:textId="77777777" w:rsidR="000144D1" w:rsidRPr="000144D1" w:rsidRDefault="000144D1" w:rsidP="000144D1">
      <w:pPr>
        <w:numPr>
          <w:ilvl w:val="0"/>
          <w:numId w:val="5"/>
        </w:numPr>
      </w:pPr>
      <w:r w:rsidRPr="000144D1">
        <w:rPr>
          <w:b/>
          <w:bCs/>
        </w:rPr>
        <w:t>データのプライバシーとセキュリティ</w:t>
      </w:r>
      <w:r w:rsidRPr="000144D1">
        <w:t>:バイオインフォマティクスは機密性の高い遺伝情報を扱うため、データ保護規制が重要です。</w:t>
      </w:r>
    </w:p>
    <w:p w14:paraId="444BEA52" w14:textId="77777777" w:rsidR="000144D1" w:rsidRPr="000144D1" w:rsidRDefault="000144D1" w:rsidP="000144D1">
      <w:pPr>
        <w:numPr>
          <w:ilvl w:val="0"/>
          <w:numId w:val="5"/>
        </w:numPr>
      </w:pPr>
      <w:r w:rsidRPr="000144D1">
        <w:rPr>
          <w:b/>
          <w:bCs/>
        </w:rPr>
        <w:t>データ統合の複雑さ</w:t>
      </w:r>
      <w:r w:rsidRPr="000144D1">
        <w:t>:さまざまなソースからの膨大で多様なデータセットを統合することは、依然として技術的な課題です。</w:t>
      </w:r>
    </w:p>
    <w:p w14:paraId="728A23FD" w14:textId="7AA15A6A" w:rsidR="000144D1" w:rsidRPr="000144D1" w:rsidRDefault="000144D1" w:rsidP="000144D1">
      <w:pPr>
        <w:numPr>
          <w:ilvl w:val="0"/>
          <w:numId w:val="5"/>
        </w:numPr>
      </w:pPr>
      <w:r w:rsidRPr="000144D1">
        <w:rPr>
          <w:b/>
          <w:bCs/>
        </w:rPr>
        <w:t>インフラストラクチャの高コスト</w:t>
      </w:r>
      <w:r w:rsidRPr="000144D1">
        <w:t>:バイオインフォマティクスには、高度な計算能力とストレージソリューションが必要ですが、これには費用がかかる場合があります。</w:t>
      </w:r>
    </w:p>
    <w:p w14:paraId="70C8BB53" w14:textId="77777777" w:rsidR="000144D1" w:rsidRPr="000144D1" w:rsidRDefault="000144D1" w:rsidP="000144D1">
      <w:pPr>
        <w:rPr>
          <w:b/>
          <w:bCs/>
        </w:rPr>
      </w:pPr>
      <w:r w:rsidRPr="000144D1">
        <w:rPr>
          <w:b/>
          <w:bCs/>
        </w:rPr>
        <w:t>バイオインフォマティクス市場のトッププレーヤー</w:t>
      </w:r>
    </w:p>
    <w:p w14:paraId="5FC74F3E" w14:textId="77777777" w:rsidR="000144D1" w:rsidRPr="000144D1" w:rsidRDefault="000144D1" w:rsidP="000144D1">
      <w:pPr>
        <w:numPr>
          <w:ilvl w:val="0"/>
          <w:numId w:val="6"/>
        </w:numPr>
        <w:rPr>
          <w:b/>
          <w:bCs/>
        </w:rPr>
      </w:pPr>
      <w:r w:rsidRPr="000144D1">
        <w:rPr>
          <w:b/>
          <w:bCs/>
        </w:rPr>
        <w:t>Illumina Inc.(米国)</w:t>
      </w:r>
    </w:p>
    <w:p w14:paraId="7C37F388" w14:textId="77777777" w:rsidR="000144D1" w:rsidRPr="000144D1" w:rsidRDefault="000144D1" w:rsidP="000144D1">
      <w:pPr>
        <w:numPr>
          <w:ilvl w:val="0"/>
          <w:numId w:val="6"/>
        </w:numPr>
        <w:rPr>
          <w:b/>
          <w:bCs/>
        </w:rPr>
      </w:pPr>
      <w:proofErr w:type="spellStart"/>
      <w:r w:rsidRPr="000144D1">
        <w:rPr>
          <w:b/>
          <w:bCs/>
        </w:rPr>
        <w:t>サーモフィッシャーサイエンティフィック社</w:t>
      </w:r>
      <w:proofErr w:type="spellEnd"/>
      <w:r w:rsidRPr="000144D1">
        <w:rPr>
          <w:b/>
          <w:bCs/>
        </w:rPr>
        <w:t>(</w:t>
      </w:r>
      <w:proofErr w:type="spellStart"/>
      <w:r w:rsidRPr="000144D1">
        <w:rPr>
          <w:b/>
          <w:bCs/>
        </w:rPr>
        <w:t>米国</w:t>
      </w:r>
      <w:proofErr w:type="spellEnd"/>
      <w:r w:rsidRPr="000144D1">
        <w:rPr>
          <w:b/>
          <w:bCs/>
        </w:rPr>
        <w:t>)</w:t>
      </w:r>
    </w:p>
    <w:p w14:paraId="0986ABD6" w14:textId="77777777" w:rsidR="000144D1" w:rsidRPr="000144D1" w:rsidRDefault="000144D1" w:rsidP="000144D1">
      <w:pPr>
        <w:numPr>
          <w:ilvl w:val="0"/>
          <w:numId w:val="6"/>
        </w:numPr>
        <w:rPr>
          <w:b/>
          <w:bCs/>
        </w:rPr>
      </w:pPr>
      <w:r w:rsidRPr="000144D1">
        <w:rPr>
          <w:b/>
          <w:bCs/>
        </w:rPr>
        <w:t>Qiagen N.V. (オランダ)</w:t>
      </w:r>
    </w:p>
    <w:p w14:paraId="0E7AD4F0" w14:textId="77777777" w:rsidR="000144D1" w:rsidRPr="000144D1" w:rsidRDefault="000144D1" w:rsidP="000144D1">
      <w:pPr>
        <w:numPr>
          <w:ilvl w:val="0"/>
          <w:numId w:val="6"/>
        </w:numPr>
        <w:rPr>
          <w:b/>
          <w:bCs/>
        </w:rPr>
      </w:pPr>
      <w:r w:rsidRPr="000144D1">
        <w:rPr>
          <w:b/>
          <w:bCs/>
        </w:rPr>
        <w:t>Agilent Technologies Inc.(米国)</w:t>
      </w:r>
    </w:p>
    <w:p w14:paraId="1947A467" w14:textId="77777777" w:rsidR="000144D1" w:rsidRPr="000144D1" w:rsidRDefault="000144D1" w:rsidP="000144D1">
      <w:pPr>
        <w:numPr>
          <w:ilvl w:val="0"/>
          <w:numId w:val="6"/>
        </w:numPr>
        <w:rPr>
          <w:b/>
          <w:bCs/>
        </w:rPr>
      </w:pPr>
      <w:r w:rsidRPr="000144D1">
        <w:rPr>
          <w:b/>
          <w:bCs/>
        </w:rPr>
        <w:t>BGIグループ(中国)</w:t>
      </w:r>
    </w:p>
    <w:p w14:paraId="6C7AB325" w14:textId="77777777" w:rsidR="000144D1" w:rsidRPr="000144D1" w:rsidRDefault="000144D1" w:rsidP="000144D1">
      <w:pPr>
        <w:numPr>
          <w:ilvl w:val="0"/>
          <w:numId w:val="6"/>
        </w:numPr>
        <w:rPr>
          <w:b/>
          <w:bCs/>
        </w:rPr>
      </w:pPr>
      <w:r w:rsidRPr="000144D1">
        <w:rPr>
          <w:b/>
          <w:bCs/>
        </w:rPr>
        <w:t>PerkinElmer Inc.(米国)</w:t>
      </w:r>
    </w:p>
    <w:p w14:paraId="3A378755" w14:textId="77777777" w:rsidR="000144D1" w:rsidRPr="000144D1" w:rsidRDefault="000144D1" w:rsidP="000144D1">
      <w:pPr>
        <w:numPr>
          <w:ilvl w:val="0"/>
          <w:numId w:val="6"/>
        </w:numPr>
        <w:rPr>
          <w:b/>
          <w:bCs/>
        </w:rPr>
      </w:pPr>
      <w:r w:rsidRPr="000144D1">
        <w:rPr>
          <w:b/>
          <w:bCs/>
        </w:rPr>
        <w:t>Eurofins Scientific SE(ヨーロッパ)</w:t>
      </w:r>
    </w:p>
    <w:p w14:paraId="7F4F8923" w14:textId="77777777" w:rsidR="000144D1" w:rsidRPr="000144D1" w:rsidRDefault="000144D1" w:rsidP="000144D1">
      <w:pPr>
        <w:numPr>
          <w:ilvl w:val="0"/>
          <w:numId w:val="6"/>
        </w:numPr>
        <w:rPr>
          <w:b/>
          <w:bCs/>
        </w:rPr>
      </w:pPr>
      <w:r w:rsidRPr="000144D1">
        <w:rPr>
          <w:b/>
          <w:bCs/>
        </w:rPr>
        <w:t>ウォーターズコーポレーション(米国)</w:t>
      </w:r>
    </w:p>
    <w:p w14:paraId="294D0BF0" w14:textId="77777777" w:rsidR="000144D1" w:rsidRPr="000144D1" w:rsidRDefault="000144D1" w:rsidP="000144D1">
      <w:pPr>
        <w:numPr>
          <w:ilvl w:val="0"/>
          <w:numId w:val="6"/>
        </w:numPr>
        <w:rPr>
          <w:b/>
          <w:bCs/>
        </w:rPr>
      </w:pPr>
      <w:proofErr w:type="spellStart"/>
      <w:r w:rsidRPr="000144D1">
        <w:rPr>
          <w:b/>
          <w:bCs/>
        </w:rPr>
        <w:t>DNAnexus</w:t>
      </w:r>
      <w:proofErr w:type="spellEnd"/>
      <w:r w:rsidRPr="000144D1">
        <w:rPr>
          <w:b/>
          <w:bCs/>
        </w:rPr>
        <w:t xml:space="preserve"> Inc.(</w:t>
      </w:r>
      <w:proofErr w:type="spellStart"/>
      <w:r w:rsidRPr="000144D1">
        <w:rPr>
          <w:b/>
          <w:bCs/>
        </w:rPr>
        <w:t>米国</w:t>
      </w:r>
      <w:proofErr w:type="spellEnd"/>
      <w:r w:rsidRPr="000144D1">
        <w:rPr>
          <w:b/>
          <w:bCs/>
        </w:rPr>
        <w:t>)</w:t>
      </w:r>
    </w:p>
    <w:p w14:paraId="0BCFB25C" w14:textId="77777777" w:rsidR="000144D1" w:rsidRPr="000144D1" w:rsidRDefault="000144D1" w:rsidP="000144D1">
      <w:pPr>
        <w:numPr>
          <w:ilvl w:val="0"/>
          <w:numId w:val="6"/>
        </w:numPr>
        <w:rPr>
          <w:b/>
          <w:bCs/>
        </w:rPr>
      </w:pPr>
      <w:r w:rsidRPr="000144D1">
        <w:rPr>
          <w:b/>
          <w:bCs/>
        </w:rPr>
        <w:t>Sophia Genetics SA(スイス)</w:t>
      </w:r>
    </w:p>
    <w:p w14:paraId="39FA216E" w14:textId="77777777" w:rsidR="000144D1" w:rsidRPr="000144D1" w:rsidRDefault="000144D1" w:rsidP="000144D1">
      <w:pPr>
        <w:numPr>
          <w:ilvl w:val="0"/>
          <w:numId w:val="6"/>
        </w:numPr>
        <w:rPr>
          <w:b/>
          <w:bCs/>
        </w:rPr>
      </w:pPr>
      <w:proofErr w:type="spellStart"/>
      <w:r w:rsidRPr="000144D1">
        <w:rPr>
          <w:b/>
          <w:bCs/>
        </w:rPr>
        <w:t>パルテックインコーポレイテッド</w:t>
      </w:r>
      <w:proofErr w:type="spellEnd"/>
      <w:r w:rsidRPr="000144D1">
        <w:rPr>
          <w:b/>
          <w:bCs/>
        </w:rPr>
        <w:t>(</w:t>
      </w:r>
      <w:proofErr w:type="spellStart"/>
      <w:r w:rsidRPr="000144D1">
        <w:rPr>
          <w:b/>
          <w:bCs/>
        </w:rPr>
        <w:t>米国</w:t>
      </w:r>
      <w:proofErr w:type="spellEnd"/>
      <w:r w:rsidRPr="000144D1">
        <w:rPr>
          <w:b/>
          <w:bCs/>
        </w:rPr>
        <w:t>)</w:t>
      </w:r>
    </w:p>
    <w:p w14:paraId="4BE140AB" w14:textId="77777777" w:rsidR="000144D1" w:rsidRPr="000144D1" w:rsidRDefault="000144D1" w:rsidP="000144D1">
      <w:pPr>
        <w:numPr>
          <w:ilvl w:val="0"/>
          <w:numId w:val="6"/>
        </w:numPr>
        <w:rPr>
          <w:b/>
          <w:bCs/>
        </w:rPr>
      </w:pPr>
      <w:r w:rsidRPr="000144D1">
        <w:rPr>
          <w:b/>
          <w:bCs/>
        </w:rPr>
        <w:t>ジーン・コード・コーポレーション(米国)</w:t>
      </w:r>
    </w:p>
    <w:p w14:paraId="1B7AB372" w14:textId="77777777" w:rsidR="000144D1" w:rsidRPr="000144D1" w:rsidRDefault="000144D1" w:rsidP="000144D1">
      <w:pPr>
        <w:numPr>
          <w:ilvl w:val="0"/>
          <w:numId w:val="6"/>
        </w:numPr>
        <w:rPr>
          <w:b/>
          <w:bCs/>
        </w:rPr>
      </w:pPr>
      <w:r w:rsidRPr="000144D1">
        <w:rPr>
          <w:b/>
          <w:bCs/>
        </w:rPr>
        <w:lastRenderedPageBreak/>
        <w:t>Dassault Systèmes SE(フランス)</w:t>
      </w:r>
    </w:p>
    <w:p w14:paraId="4D42CF4A" w14:textId="77777777" w:rsidR="000144D1" w:rsidRPr="000144D1" w:rsidRDefault="000144D1" w:rsidP="000144D1">
      <w:pPr>
        <w:numPr>
          <w:ilvl w:val="0"/>
          <w:numId w:val="6"/>
        </w:numPr>
        <w:rPr>
          <w:b/>
          <w:bCs/>
        </w:rPr>
      </w:pPr>
      <w:proofErr w:type="spellStart"/>
      <w:r w:rsidRPr="000144D1">
        <w:rPr>
          <w:b/>
          <w:bCs/>
        </w:rPr>
        <w:t>Biomax</w:t>
      </w:r>
      <w:proofErr w:type="spellEnd"/>
      <w:r w:rsidRPr="000144D1">
        <w:rPr>
          <w:b/>
          <w:bCs/>
        </w:rPr>
        <w:t xml:space="preserve"> Informatics AG(</w:t>
      </w:r>
      <w:proofErr w:type="spellStart"/>
      <w:r w:rsidRPr="000144D1">
        <w:rPr>
          <w:b/>
          <w:bCs/>
        </w:rPr>
        <w:t>ドイツ</w:t>
      </w:r>
      <w:proofErr w:type="spellEnd"/>
      <w:r w:rsidRPr="000144D1">
        <w:rPr>
          <w:b/>
          <w:bCs/>
        </w:rPr>
        <w:t>)</w:t>
      </w:r>
    </w:p>
    <w:p w14:paraId="1717308A" w14:textId="77777777" w:rsidR="000144D1" w:rsidRPr="000144D1" w:rsidRDefault="000144D1" w:rsidP="000144D1">
      <w:pPr>
        <w:numPr>
          <w:ilvl w:val="0"/>
          <w:numId w:val="6"/>
        </w:numPr>
        <w:rPr>
          <w:b/>
          <w:bCs/>
        </w:rPr>
      </w:pPr>
      <w:r w:rsidRPr="000144D1">
        <w:rPr>
          <w:b/>
          <w:bCs/>
        </w:rPr>
        <w:t>ユーザーコーポレーション(米国)</w:t>
      </w:r>
    </w:p>
    <w:p w14:paraId="56A99F01" w14:textId="53E2A7C9" w:rsidR="000144D1" w:rsidRPr="000144D1" w:rsidRDefault="000144D1" w:rsidP="000144D1">
      <w:pPr>
        <w:numPr>
          <w:ilvl w:val="0"/>
          <w:numId w:val="6"/>
        </w:numPr>
        <w:rPr>
          <w:b/>
          <w:bCs/>
        </w:rPr>
      </w:pPr>
      <w:proofErr w:type="spellStart"/>
      <w:r w:rsidRPr="000144D1">
        <w:rPr>
          <w:b/>
          <w:bCs/>
        </w:rPr>
        <w:t>Macrogen</w:t>
      </w:r>
      <w:proofErr w:type="spellEnd"/>
      <w:r w:rsidRPr="000144D1">
        <w:rPr>
          <w:b/>
          <w:bCs/>
        </w:rPr>
        <w:t xml:space="preserve"> Inc.(</w:t>
      </w:r>
      <w:proofErr w:type="spellStart"/>
      <w:r w:rsidRPr="000144D1">
        <w:rPr>
          <w:b/>
          <w:bCs/>
        </w:rPr>
        <w:t>韓国</w:t>
      </w:r>
      <w:proofErr w:type="spellEnd"/>
      <w:r w:rsidRPr="000144D1">
        <w:rPr>
          <w:b/>
          <w:bCs/>
        </w:rPr>
        <w:t>)</w:t>
      </w:r>
    </w:p>
    <w:p w14:paraId="3893A4EF" w14:textId="5378A6F3" w:rsidR="000144D1" w:rsidRPr="000144D1" w:rsidRDefault="000144D1" w:rsidP="000144D1">
      <w:pPr>
        <w:rPr>
          <w:b/>
          <w:bCs/>
        </w:rPr>
      </w:pPr>
      <w:r w:rsidRPr="000144D1">
        <w:rPr>
          <w:b/>
          <w:bCs/>
        </w:rPr>
        <w:t>結論</w:t>
      </w:r>
    </w:p>
    <w:p w14:paraId="132B40C4" w14:textId="77777777" w:rsidR="000144D1" w:rsidRPr="000144D1" w:rsidRDefault="000144D1" w:rsidP="000144D1">
      <w:r w:rsidRPr="000144D1">
        <w:t>バイオインフォマティクス市場は、ライフサイエンスとヘルスケアがデータ主導の意思決定を引き続き採用しているため、大幅な成長が見込まれています。ゲノミクス、医薬品、診断学にわたるアプリケーションの拡大に伴い、バイオインフォマティクスは、現代生物学と精密医療におけるイノベーションの中核であり続けるでしょう。</w:t>
      </w:r>
    </w:p>
    <w:p w14:paraId="2A589BC2" w14:textId="5CBBA675" w:rsidR="004D40C5" w:rsidRDefault="000144D1">
      <w:r w:rsidRPr="000144D1">
        <w:t xml:space="preserve">詳細な市場見通し、トレンド、戦略的な洞察については、SkyQuestのレポート全文をご覧ください </w:t>
      </w:r>
      <w:hyperlink r:id="rId6" w:history="1">
        <w:r w:rsidR="004927BA" w:rsidRPr="008115EE">
          <w:rPr>
            <w:rStyle w:val="Hyperlink"/>
          </w:rPr>
          <w:t>https://www.skyquestt.com/report/bioinformatics-market</w:t>
        </w:r>
      </w:hyperlink>
      <w:r w:rsidR="004927BA">
        <w:t xml:space="preserve"> </w:t>
      </w:r>
      <w:r w:rsidRPr="000144D1">
        <w:t xml:space="preserve"> </w:t>
      </w:r>
      <w:hyperlink r:id="rId7" w:history="1"/>
      <w:r>
        <w:t xml:space="preserve"> </w:t>
      </w:r>
    </w:p>
    <w:p w14:paraId="4F247809" w14:textId="78405821" w:rsidR="000144D1" w:rsidRDefault="000144D1">
      <w:r>
        <w:t xml:space="preserve">あなたも読みたいかもしれません: </w:t>
      </w:r>
    </w:p>
    <w:p w14:paraId="1E7502FD" w14:textId="263FC227" w:rsidR="000144D1" w:rsidRPr="000144D1" w:rsidRDefault="000144D1" w:rsidP="000144D1">
      <w:pPr>
        <w:pStyle w:val="ListParagraph"/>
        <w:numPr>
          <w:ilvl w:val="0"/>
          <w:numId w:val="7"/>
        </w:numPr>
        <w:rPr>
          <w:rFonts w:ascii="Calibri" w:eastAsia="Times New Roman" w:hAnsi="Calibri" w:cs="Calibri"/>
          <w:color w:val="000000"/>
          <w:kern w:val="0"/>
          <w:sz w:val="22"/>
          <w:szCs w:val="22"/>
          <w14:ligatures w14:val="none"/>
        </w:rPr>
      </w:pPr>
      <w:r>
        <w:t xml:space="preserve">レディーミクストコンクリート市場 - </w:t>
      </w:r>
      <w:hyperlink r:id="rId8" w:history="1">
        <w:r w:rsidRPr="000144D1">
          <w:rPr>
            <w:rStyle w:val="Hyperlink"/>
            <w:rFonts w:ascii="Calibri" w:eastAsia="Times New Roman" w:hAnsi="Calibri" w:cs="Calibri"/>
            <w:kern w:val="0"/>
            <w:sz w:val="22"/>
            <w:szCs w:val="22"/>
            <w14:ligatures w14:val="none"/>
          </w:rPr>
          <w:t>https://vinitsawant.hatenablog.com/entry/2025/03/27/202957</w:t>
        </w:r>
      </w:hyperlink>
      <w:r w:rsidRPr="000144D1">
        <w:rPr>
          <w:rFonts w:ascii="Calibri" w:eastAsia="Times New Roman" w:hAnsi="Calibri" w:cs="Calibri"/>
          <w:color w:val="000000"/>
          <w:kern w:val="0"/>
          <w:sz w:val="22"/>
          <w:szCs w:val="22"/>
          <w14:ligatures w14:val="none"/>
        </w:rPr>
        <w:t xml:space="preserve"> </w:t>
      </w:r>
    </w:p>
    <w:p w14:paraId="0A0073B6" w14:textId="42950293" w:rsidR="000144D1" w:rsidRPr="000144D1" w:rsidRDefault="000144D1" w:rsidP="000144D1">
      <w:pPr>
        <w:pStyle w:val="ListParagraph"/>
        <w:numPr>
          <w:ilvl w:val="0"/>
          <w:numId w:val="7"/>
        </w:numPr>
        <w:rPr>
          <w:rFonts w:ascii="Calibri" w:eastAsia="Times New Roman" w:hAnsi="Calibri" w:cs="Calibri"/>
          <w:color w:val="000000"/>
          <w:kern w:val="0"/>
          <w:sz w:val="22"/>
          <w:szCs w:val="22"/>
          <w14:ligatures w14:val="none"/>
        </w:rPr>
      </w:pPr>
      <w:r>
        <w:t xml:space="preserve">デジタルヘルス市場 - </w:t>
      </w:r>
      <w:hyperlink r:id="rId9" w:history="1">
        <w:r w:rsidRPr="000144D1">
          <w:rPr>
            <w:rStyle w:val="Hyperlink"/>
            <w:rFonts w:ascii="Calibri" w:eastAsia="Times New Roman" w:hAnsi="Calibri" w:cs="Calibri"/>
            <w:kern w:val="0"/>
            <w:sz w:val="22"/>
            <w:szCs w:val="22"/>
            <w14:ligatures w14:val="none"/>
          </w:rPr>
          <w:t>https://vinitsawant.hatenablog.com/entry/2025/03/28/202707</w:t>
        </w:r>
      </w:hyperlink>
      <w:r w:rsidRPr="000144D1">
        <w:rPr>
          <w:rFonts w:ascii="Calibri" w:eastAsia="Times New Roman" w:hAnsi="Calibri" w:cs="Calibri"/>
          <w:color w:val="000000"/>
          <w:kern w:val="0"/>
          <w:sz w:val="22"/>
          <w:szCs w:val="22"/>
          <w14:ligatures w14:val="none"/>
        </w:rPr>
        <w:t xml:space="preserve"> </w:t>
      </w:r>
    </w:p>
    <w:p w14:paraId="2E8F0523" w14:textId="46439A63" w:rsidR="000144D1" w:rsidRPr="000144D1" w:rsidRDefault="000144D1" w:rsidP="000144D1">
      <w:pPr>
        <w:pStyle w:val="ListParagraph"/>
        <w:numPr>
          <w:ilvl w:val="0"/>
          <w:numId w:val="7"/>
        </w:numPr>
        <w:rPr>
          <w:rFonts w:ascii="Calibri" w:eastAsia="Times New Roman" w:hAnsi="Calibri" w:cs="Calibri"/>
          <w:color w:val="000000"/>
          <w:kern w:val="0"/>
          <w:sz w:val="22"/>
          <w:szCs w:val="22"/>
          <w14:ligatures w14:val="none"/>
        </w:rPr>
      </w:pPr>
      <w:r>
        <w:t xml:space="preserve">持続可能な包装市場 - </w:t>
      </w:r>
      <w:hyperlink r:id="rId10" w:history="1">
        <w:r w:rsidRPr="000144D1">
          <w:rPr>
            <w:rStyle w:val="Hyperlink"/>
            <w:rFonts w:ascii="Calibri" w:eastAsia="Times New Roman" w:hAnsi="Calibri" w:cs="Calibri"/>
            <w:kern w:val="0"/>
            <w:sz w:val="22"/>
            <w:szCs w:val="22"/>
            <w14:ligatures w14:val="none"/>
          </w:rPr>
          <w:t>https://vinitsawant.hatenablog.com/entry/2025/04/01/213207</w:t>
        </w:r>
      </w:hyperlink>
      <w:r w:rsidRPr="000144D1">
        <w:rPr>
          <w:rFonts w:ascii="Calibri" w:eastAsia="Times New Roman" w:hAnsi="Calibri" w:cs="Calibri"/>
          <w:color w:val="000000"/>
          <w:kern w:val="0"/>
          <w:sz w:val="22"/>
          <w:szCs w:val="22"/>
          <w14:ligatures w14:val="none"/>
        </w:rPr>
        <w:t xml:space="preserve"> </w:t>
      </w:r>
    </w:p>
    <w:sectPr w:rsidR="000144D1" w:rsidRPr="000144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2D2"/>
    <w:multiLevelType w:val="multilevel"/>
    <w:tmpl w:val="E3E8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222C6"/>
    <w:multiLevelType w:val="multilevel"/>
    <w:tmpl w:val="5DFE3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14C2E"/>
    <w:multiLevelType w:val="multilevel"/>
    <w:tmpl w:val="920C4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6389A"/>
    <w:multiLevelType w:val="multilevel"/>
    <w:tmpl w:val="4F500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B3508"/>
    <w:multiLevelType w:val="multilevel"/>
    <w:tmpl w:val="4BCC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0E0346"/>
    <w:multiLevelType w:val="multilevel"/>
    <w:tmpl w:val="650C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CB258C"/>
    <w:multiLevelType w:val="hybridMultilevel"/>
    <w:tmpl w:val="31B08A1E"/>
    <w:lvl w:ilvl="0" w:tplc="0409000F">
      <w:start w:val="1"/>
      <w:numFmt w:val="chineseCounting"/>
      <w:lvlText w:val="%1."/>
      <w:lvlJc w:val="left"/>
      <w:pPr>
        <w:ind w:left="720" w:hanging="360"/>
      </w:pPr>
    </w:lvl>
    <w:lvl w:ilvl="1" w:tplc="04090019" w:tentative="1">
      <w:start w:val="1"/>
      <w:numFmt w:val="chineseCounting"/>
      <w:lvlText w:val="%2."/>
      <w:lvlJc w:val="left"/>
      <w:pPr>
        <w:ind w:left="1440" w:hanging="360"/>
      </w:pPr>
    </w:lvl>
    <w:lvl w:ilvl="2" w:tplc="0409001B" w:tentative="1">
      <w:start w:val="1"/>
      <w:numFmt w:val="chineseCounting"/>
      <w:lvlText w:val="%3."/>
      <w:lvlJc w:val="right"/>
      <w:pPr>
        <w:ind w:left="2160" w:hanging="180"/>
      </w:pPr>
    </w:lvl>
    <w:lvl w:ilvl="3" w:tplc="0409000F" w:tentative="1">
      <w:start w:val="1"/>
      <w:numFmt w:val="chineseCounting"/>
      <w:lvlText w:val="%4."/>
      <w:lvlJc w:val="left"/>
      <w:pPr>
        <w:ind w:left="2880" w:hanging="360"/>
      </w:pPr>
    </w:lvl>
    <w:lvl w:ilvl="4" w:tplc="04090019" w:tentative="1">
      <w:start w:val="1"/>
      <w:numFmt w:val="chineseCounting"/>
      <w:lvlText w:val="%5."/>
      <w:lvlJc w:val="left"/>
      <w:pPr>
        <w:ind w:left="3600" w:hanging="360"/>
      </w:pPr>
    </w:lvl>
    <w:lvl w:ilvl="5" w:tplc="0409001B" w:tentative="1">
      <w:start w:val="1"/>
      <w:numFmt w:val="chineseCounting"/>
      <w:lvlText w:val="%6."/>
      <w:lvlJc w:val="right"/>
      <w:pPr>
        <w:ind w:left="4320" w:hanging="180"/>
      </w:pPr>
    </w:lvl>
    <w:lvl w:ilvl="6" w:tplc="0409000F" w:tentative="1">
      <w:start w:val="1"/>
      <w:numFmt w:val="chineseCounting"/>
      <w:lvlText w:val="%7."/>
      <w:lvlJc w:val="left"/>
      <w:pPr>
        <w:ind w:left="5040" w:hanging="360"/>
      </w:pPr>
    </w:lvl>
    <w:lvl w:ilvl="7" w:tplc="04090019" w:tentative="1">
      <w:start w:val="1"/>
      <w:numFmt w:val="chineseCounting"/>
      <w:lvlText w:val="%8."/>
      <w:lvlJc w:val="left"/>
      <w:pPr>
        <w:ind w:left="5760" w:hanging="360"/>
      </w:pPr>
    </w:lvl>
    <w:lvl w:ilvl="8" w:tplc="0409001B" w:tentative="1">
      <w:start w:val="1"/>
      <w:numFmt w:val="chineseCounting"/>
      <w:lvlText w:val="%9."/>
      <w:lvlJc w:val="right"/>
      <w:pPr>
        <w:ind w:left="6480" w:hanging="180"/>
      </w:pPr>
    </w:lvl>
  </w:abstractNum>
  <w:num w:numId="1" w16cid:durableId="1352804841">
    <w:abstractNumId w:val="4"/>
  </w:num>
  <w:num w:numId="2" w16cid:durableId="1449278488">
    <w:abstractNumId w:val="3"/>
  </w:num>
  <w:num w:numId="3" w16cid:durableId="1000163375">
    <w:abstractNumId w:val="5"/>
  </w:num>
  <w:num w:numId="4" w16cid:durableId="764955770">
    <w:abstractNumId w:val="1"/>
  </w:num>
  <w:num w:numId="5" w16cid:durableId="49764920">
    <w:abstractNumId w:val="2"/>
  </w:num>
  <w:num w:numId="6" w16cid:durableId="1263611128">
    <w:abstractNumId w:val="0"/>
  </w:num>
  <w:num w:numId="7" w16cid:durableId="621108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D1"/>
    <w:rsid w:val="000144D1"/>
    <w:rsid w:val="000C35B2"/>
    <w:rsid w:val="001D01DB"/>
    <w:rsid w:val="00274CDA"/>
    <w:rsid w:val="004927BA"/>
    <w:rsid w:val="004D40C5"/>
    <w:rsid w:val="00B354D8"/>
    <w:rsid w:val="00BB68BD"/>
    <w:rsid w:val="00C15B33"/>
    <w:rsid w:val="00CE391F"/>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A0501"/>
  <w15:chartTrackingRefBased/>
  <w15:docId w15:val="{FD18D6DD-1548-484A-A250-99403AF7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4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44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44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44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44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44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4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4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4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4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44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44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44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44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44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4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4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4D1"/>
    <w:rPr>
      <w:rFonts w:eastAsiaTheme="majorEastAsia" w:cstheme="majorBidi"/>
      <w:color w:val="272727" w:themeColor="text1" w:themeTint="D8"/>
    </w:rPr>
  </w:style>
  <w:style w:type="paragraph" w:styleId="Title">
    <w:name w:val="Title"/>
    <w:basedOn w:val="Normal"/>
    <w:next w:val="Normal"/>
    <w:link w:val="TitleChar"/>
    <w:uiPriority w:val="10"/>
    <w:qFormat/>
    <w:rsid w:val="000144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4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4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4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4D1"/>
    <w:pPr>
      <w:spacing w:before="160"/>
      <w:jc w:val="center"/>
    </w:pPr>
    <w:rPr>
      <w:i/>
      <w:iCs/>
      <w:color w:val="404040" w:themeColor="text1" w:themeTint="BF"/>
    </w:rPr>
  </w:style>
  <w:style w:type="character" w:customStyle="1" w:styleId="QuoteChar">
    <w:name w:val="Quote Char"/>
    <w:basedOn w:val="DefaultParagraphFont"/>
    <w:link w:val="Quote"/>
    <w:uiPriority w:val="29"/>
    <w:rsid w:val="000144D1"/>
    <w:rPr>
      <w:i/>
      <w:iCs/>
      <w:color w:val="404040" w:themeColor="text1" w:themeTint="BF"/>
    </w:rPr>
  </w:style>
  <w:style w:type="paragraph" w:styleId="ListParagraph">
    <w:name w:val="List Paragraph"/>
    <w:basedOn w:val="Normal"/>
    <w:uiPriority w:val="34"/>
    <w:qFormat/>
    <w:rsid w:val="000144D1"/>
    <w:pPr>
      <w:ind w:left="720"/>
      <w:contextualSpacing/>
    </w:pPr>
  </w:style>
  <w:style w:type="character" w:styleId="IntenseEmphasis">
    <w:name w:val="Intense Emphasis"/>
    <w:basedOn w:val="DefaultParagraphFont"/>
    <w:uiPriority w:val="21"/>
    <w:qFormat/>
    <w:rsid w:val="000144D1"/>
    <w:rPr>
      <w:i/>
      <w:iCs/>
      <w:color w:val="2F5496" w:themeColor="accent1" w:themeShade="BF"/>
    </w:rPr>
  </w:style>
  <w:style w:type="paragraph" w:styleId="IntenseQuote">
    <w:name w:val="Intense Quote"/>
    <w:basedOn w:val="Normal"/>
    <w:next w:val="Normal"/>
    <w:link w:val="IntenseQuoteChar"/>
    <w:uiPriority w:val="30"/>
    <w:qFormat/>
    <w:rsid w:val="000144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44D1"/>
    <w:rPr>
      <w:i/>
      <w:iCs/>
      <w:color w:val="2F5496" w:themeColor="accent1" w:themeShade="BF"/>
    </w:rPr>
  </w:style>
  <w:style w:type="character" w:styleId="IntenseReference">
    <w:name w:val="Intense Reference"/>
    <w:basedOn w:val="DefaultParagraphFont"/>
    <w:uiPriority w:val="32"/>
    <w:qFormat/>
    <w:rsid w:val="000144D1"/>
    <w:rPr>
      <w:b/>
      <w:bCs/>
      <w:smallCaps/>
      <w:color w:val="2F5496" w:themeColor="accent1" w:themeShade="BF"/>
      <w:spacing w:val="5"/>
    </w:rPr>
  </w:style>
  <w:style w:type="character" w:styleId="Hyperlink">
    <w:name w:val="Hyperlink"/>
    <w:basedOn w:val="DefaultParagraphFont"/>
    <w:uiPriority w:val="99"/>
    <w:unhideWhenUsed/>
    <w:rsid w:val="000144D1"/>
    <w:rPr>
      <w:color w:val="0563C1" w:themeColor="hyperlink"/>
      <w:u w:val="single"/>
    </w:rPr>
  </w:style>
  <w:style w:type="character" w:styleId="UnresolvedMention">
    <w:name w:val="Unresolved Mention"/>
    <w:basedOn w:val="DefaultParagraphFont"/>
    <w:uiPriority w:val="99"/>
    <w:semiHidden/>
    <w:unhideWhenUsed/>
    <w:rsid w:val="000144D1"/>
    <w:rPr>
      <w:color w:val="605E5C"/>
      <w:shd w:val="clear" w:color="auto" w:fill="E1DFDD"/>
    </w:rPr>
  </w:style>
  <w:style w:type="character" w:styleId="PlaceholderText">
    <w:name w:val="Placeholder Text"/>
    <w:basedOn w:val="DefaultParagraphFont"/>
    <w:uiPriority w:val="99"/>
    <w:semiHidden/>
    <w:rsid w:val="004927B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3771">
      <w:bodyDiv w:val="1"/>
      <w:marLeft w:val="0"/>
      <w:marRight w:val="0"/>
      <w:marTop w:val="0"/>
      <w:marBottom w:val="0"/>
      <w:divBdr>
        <w:top w:val="none" w:sz="0" w:space="0" w:color="auto"/>
        <w:left w:val="none" w:sz="0" w:space="0" w:color="auto"/>
        <w:bottom w:val="none" w:sz="0" w:space="0" w:color="auto"/>
        <w:right w:val="none" w:sz="0" w:space="0" w:color="auto"/>
      </w:divBdr>
      <w:divsChild>
        <w:div w:id="458501150">
          <w:marLeft w:val="0"/>
          <w:marRight w:val="0"/>
          <w:marTop w:val="0"/>
          <w:marBottom w:val="0"/>
          <w:divBdr>
            <w:top w:val="none" w:sz="0" w:space="0" w:color="auto"/>
            <w:left w:val="none" w:sz="0" w:space="0" w:color="auto"/>
            <w:bottom w:val="none" w:sz="0" w:space="0" w:color="auto"/>
            <w:right w:val="none" w:sz="0" w:space="0" w:color="auto"/>
          </w:divBdr>
        </w:div>
      </w:divsChild>
    </w:div>
    <w:div w:id="109520677">
      <w:bodyDiv w:val="1"/>
      <w:marLeft w:val="0"/>
      <w:marRight w:val="0"/>
      <w:marTop w:val="0"/>
      <w:marBottom w:val="0"/>
      <w:divBdr>
        <w:top w:val="none" w:sz="0" w:space="0" w:color="auto"/>
        <w:left w:val="none" w:sz="0" w:space="0" w:color="auto"/>
        <w:bottom w:val="none" w:sz="0" w:space="0" w:color="auto"/>
        <w:right w:val="none" w:sz="0" w:space="0" w:color="auto"/>
      </w:divBdr>
      <w:divsChild>
        <w:div w:id="1851529258">
          <w:marLeft w:val="0"/>
          <w:marRight w:val="0"/>
          <w:marTop w:val="0"/>
          <w:marBottom w:val="0"/>
          <w:divBdr>
            <w:top w:val="none" w:sz="0" w:space="0" w:color="auto"/>
            <w:left w:val="none" w:sz="0" w:space="0" w:color="auto"/>
            <w:bottom w:val="none" w:sz="0" w:space="0" w:color="auto"/>
            <w:right w:val="none" w:sz="0" w:space="0" w:color="auto"/>
          </w:divBdr>
        </w:div>
      </w:divsChild>
    </w:div>
    <w:div w:id="143354056">
      <w:bodyDiv w:val="1"/>
      <w:marLeft w:val="0"/>
      <w:marRight w:val="0"/>
      <w:marTop w:val="0"/>
      <w:marBottom w:val="0"/>
      <w:divBdr>
        <w:top w:val="none" w:sz="0" w:space="0" w:color="auto"/>
        <w:left w:val="none" w:sz="0" w:space="0" w:color="auto"/>
        <w:bottom w:val="none" w:sz="0" w:space="0" w:color="auto"/>
        <w:right w:val="none" w:sz="0" w:space="0" w:color="auto"/>
      </w:divBdr>
    </w:div>
    <w:div w:id="444235270">
      <w:bodyDiv w:val="1"/>
      <w:marLeft w:val="0"/>
      <w:marRight w:val="0"/>
      <w:marTop w:val="0"/>
      <w:marBottom w:val="0"/>
      <w:divBdr>
        <w:top w:val="none" w:sz="0" w:space="0" w:color="auto"/>
        <w:left w:val="none" w:sz="0" w:space="0" w:color="auto"/>
        <w:bottom w:val="none" w:sz="0" w:space="0" w:color="auto"/>
        <w:right w:val="none" w:sz="0" w:space="0" w:color="auto"/>
      </w:divBdr>
    </w:div>
    <w:div w:id="936517561">
      <w:bodyDiv w:val="1"/>
      <w:marLeft w:val="0"/>
      <w:marRight w:val="0"/>
      <w:marTop w:val="0"/>
      <w:marBottom w:val="0"/>
      <w:divBdr>
        <w:top w:val="none" w:sz="0" w:space="0" w:color="auto"/>
        <w:left w:val="none" w:sz="0" w:space="0" w:color="auto"/>
        <w:bottom w:val="none" w:sz="0" w:space="0" w:color="auto"/>
        <w:right w:val="none" w:sz="0" w:space="0" w:color="auto"/>
      </w:divBdr>
    </w:div>
    <w:div w:id="990451010">
      <w:bodyDiv w:val="1"/>
      <w:marLeft w:val="0"/>
      <w:marRight w:val="0"/>
      <w:marTop w:val="0"/>
      <w:marBottom w:val="0"/>
      <w:divBdr>
        <w:top w:val="none" w:sz="0" w:space="0" w:color="auto"/>
        <w:left w:val="none" w:sz="0" w:space="0" w:color="auto"/>
        <w:bottom w:val="none" w:sz="0" w:space="0" w:color="auto"/>
        <w:right w:val="none" w:sz="0" w:space="0" w:color="auto"/>
      </w:divBdr>
    </w:div>
    <w:div w:id="1001469270">
      <w:bodyDiv w:val="1"/>
      <w:marLeft w:val="0"/>
      <w:marRight w:val="0"/>
      <w:marTop w:val="0"/>
      <w:marBottom w:val="0"/>
      <w:divBdr>
        <w:top w:val="none" w:sz="0" w:space="0" w:color="auto"/>
        <w:left w:val="none" w:sz="0" w:space="0" w:color="auto"/>
        <w:bottom w:val="none" w:sz="0" w:space="0" w:color="auto"/>
        <w:right w:val="none" w:sz="0" w:space="0" w:color="auto"/>
      </w:divBdr>
      <w:divsChild>
        <w:div w:id="991713004">
          <w:marLeft w:val="0"/>
          <w:marRight w:val="0"/>
          <w:marTop w:val="0"/>
          <w:marBottom w:val="0"/>
          <w:divBdr>
            <w:top w:val="none" w:sz="0" w:space="0" w:color="auto"/>
            <w:left w:val="none" w:sz="0" w:space="0" w:color="auto"/>
            <w:bottom w:val="none" w:sz="0" w:space="0" w:color="auto"/>
            <w:right w:val="none" w:sz="0" w:space="0" w:color="auto"/>
          </w:divBdr>
        </w:div>
      </w:divsChild>
    </w:div>
    <w:div w:id="1030499234">
      <w:bodyDiv w:val="1"/>
      <w:marLeft w:val="0"/>
      <w:marRight w:val="0"/>
      <w:marTop w:val="0"/>
      <w:marBottom w:val="0"/>
      <w:divBdr>
        <w:top w:val="none" w:sz="0" w:space="0" w:color="auto"/>
        <w:left w:val="none" w:sz="0" w:space="0" w:color="auto"/>
        <w:bottom w:val="none" w:sz="0" w:space="0" w:color="auto"/>
        <w:right w:val="none" w:sz="0" w:space="0" w:color="auto"/>
      </w:divBdr>
    </w:div>
    <w:div w:id="1037126134">
      <w:bodyDiv w:val="1"/>
      <w:marLeft w:val="0"/>
      <w:marRight w:val="0"/>
      <w:marTop w:val="0"/>
      <w:marBottom w:val="0"/>
      <w:divBdr>
        <w:top w:val="none" w:sz="0" w:space="0" w:color="auto"/>
        <w:left w:val="none" w:sz="0" w:space="0" w:color="auto"/>
        <w:bottom w:val="none" w:sz="0" w:space="0" w:color="auto"/>
        <w:right w:val="none" w:sz="0" w:space="0" w:color="auto"/>
      </w:divBdr>
      <w:divsChild>
        <w:div w:id="1069613768">
          <w:marLeft w:val="0"/>
          <w:marRight w:val="0"/>
          <w:marTop w:val="0"/>
          <w:marBottom w:val="0"/>
          <w:divBdr>
            <w:top w:val="none" w:sz="0" w:space="0" w:color="auto"/>
            <w:left w:val="none" w:sz="0" w:space="0" w:color="auto"/>
            <w:bottom w:val="none" w:sz="0" w:space="0" w:color="auto"/>
            <w:right w:val="none" w:sz="0" w:space="0" w:color="auto"/>
          </w:divBdr>
        </w:div>
      </w:divsChild>
    </w:div>
    <w:div w:id="1112750154">
      <w:bodyDiv w:val="1"/>
      <w:marLeft w:val="0"/>
      <w:marRight w:val="0"/>
      <w:marTop w:val="0"/>
      <w:marBottom w:val="0"/>
      <w:divBdr>
        <w:top w:val="none" w:sz="0" w:space="0" w:color="auto"/>
        <w:left w:val="none" w:sz="0" w:space="0" w:color="auto"/>
        <w:bottom w:val="none" w:sz="0" w:space="0" w:color="auto"/>
        <w:right w:val="none" w:sz="0" w:space="0" w:color="auto"/>
      </w:divBdr>
    </w:div>
    <w:div w:id="1235121520">
      <w:bodyDiv w:val="1"/>
      <w:marLeft w:val="0"/>
      <w:marRight w:val="0"/>
      <w:marTop w:val="0"/>
      <w:marBottom w:val="0"/>
      <w:divBdr>
        <w:top w:val="none" w:sz="0" w:space="0" w:color="auto"/>
        <w:left w:val="none" w:sz="0" w:space="0" w:color="auto"/>
        <w:bottom w:val="none" w:sz="0" w:space="0" w:color="auto"/>
        <w:right w:val="none" w:sz="0" w:space="0" w:color="auto"/>
      </w:divBdr>
      <w:divsChild>
        <w:div w:id="272135798">
          <w:marLeft w:val="0"/>
          <w:marRight w:val="0"/>
          <w:marTop w:val="0"/>
          <w:marBottom w:val="0"/>
          <w:divBdr>
            <w:top w:val="none" w:sz="0" w:space="0" w:color="auto"/>
            <w:left w:val="none" w:sz="0" w:space="0" w:color="auto"/>
            <w:bottom w:val="none" w:sz="0" w:space="0" w:color="auto"/>
            <w:right w:val="none" w:sz="0" w:space="0" w:color="auto"/>
          </w:divBdr>
        </w:div>
      </w:divsChild>
    </w:div>
    <w:div w:id="1512253465">
      <w:bodyDiv w:val="1"/>
      <w:marLeft w:val="0"/>
      <w:marRight w:val="0"/>
      <w:marTop w:val="0"/>
      <w:marBottom w:val="0"/>
      <w:divBdr>
        <w:top w:val="none" w:sz="0" w:space="0" w:color="auto"/>
        <w:left w:val="none" w:sz="0" w:space="0" w:color="auto"/>
        <w:bottom w:val="none" w:sz="0" w:space="0" w:color="auto"/>
        <w:right w:val="none" w:sz="0" w:space="0" w:color="auto"/>
      </w:divBdr>
    </w:div>
    <w:div w:id="1529098023">
      <w:bodyDiv w:val="1"/>
      <w:marLeft w:val="0"/>
      <w:marRight w:val="0"/>
      <w:marTop w:val="0"/>
      <w:marBottom w:val="0"/>
      <w:divBdr>
        <w:top w:val="none" w:sz="0" w:space="0" w:color="auto"/>
        <w:left w:val="none" w:sz="0" w:space="0" w:color="auto"/>
        <w:bottom w:val="none" w:sz="0" w:space="0" w:color="auto"/>
        <w:right w:val="none" w:sz="0" w:space="0" w:color="auto"/>
      </w:divBdr>
    </w:div>
    <w:div w:id="1587762896">
      <w:bodyDiv w:val="1"/>
      <w:marLeft w:val="0"/>
      <w:marRight w:val="0"/>
      <w:marTop w:val="0"/>
      <w:marBottom w:val="0"/>
      <w:divBdr>
        <w:top w:val="none" w:sz="0" w:space="0" w:color="auto"/>
        <w:left w:val="none" w:sz="0" w:space="0" w:color="auto"/>
        <w:bottom w:val="none" w:sz="0" w:space="0" w:color="auto"/>
        <w:right w:val="none" w:sz="0" w:space="0" w:color="auto"/>
      </w:divBdr>
    </w:div>
    <w:div w:id="1797335135">
      <w:bodyDiv w:val="1"/>
      <w:marLeft w:val="0"/>
      <w:marRight w:val="0"/>
      <w:marTop w:val="0"/>
      <w:marBottom w:val="0"/>
      <w:divBdr>
        <w:top w:val="none" w:sz="0" w:space="0" w:color="auto"/>
        <w:left w:val="none" w:sz="0" w:space="0" w:color="auto"/>
        <w:bottom w:val="none" w:sz="0" w:space="0" w:color="auto"/>
        <w:right w:val="none" w:sz="0" w:space="0" w:color="auto"/>
      </w:divBdr>
    </w:div>
    <w:div w:id="2105757657">
      <w:bodyDiv w:val="1"/>
      <w:marLeft w:val="0"/>
      <w:marRight w:val="0"/>
      <w:marTop w:val="0"/>
      <w:marBottom w:val="0"/>
      <w:divBdr>
        <w:top w:val="none" w:sz="0" w:space="0" w:color="auto"/>
        <w:left w:val="none" w:sz="0" w:space="0" w:color="auto"/>
        <w:bottom w:val="none" w:sz="0" w:space="0" w:color="auto"/>
        <w:right w:val="none" w:sz="0" w:space="0" w:color="auto"/>
      </w:divBdr>
      <w:divsChild>
        <w:div w:id="1850638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nitsawant.hatenablog.com/entry/2025/03/27/202957" TargetMode="External"/><Relationship Id="rId3" Type="http://schemas.openxmlformats.org/officeDocument/2006/relationships/settings" Target="settings.xml"/><Relationship Id="rId7" Type="http://schemas.openxmlformats.org/officeDocument/2006/relationships/hyperlink" Target="https://www.skyquestt.com/report/bioinformatics-mark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bioinformatics-market" TargetMode="External"/><Relationship Id="rId11" Type="http://schemas.openxmlformats.org/officeDocument/2006/relationships/fontTable" Target="fontTable.xml"/><Relationship Id="rId5" Type="http://schemas.openxmlformats.org/officeDocument/2006/relationships/hyperlink" Target="https://www.skyquestt.com/sample-request/bioinformatics-market" TargetMode="External"/><Relationship Id="rId10" Type="http://schemas.openxmlformats.org/officeDocument/2006/relationships/hyperlink" Target="https://vinitsawant.hatenablog.com/entry/2025/04/01/213207" TargetMode="External"/><Relationship Id="rId4" Type="http://schemas.openxmlformats.org/officeDocument/2006/relationships/webSettings" Target="webSettings.xml"/><Relationship Id="rId9" Type="http://schemas.openxmlformats.org/officeDocument/2006/relationships/hyperlink" Target="https://vinitsawant.hatenablog.com/entry/2025/03/28/2027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463</Words>
  <Characters>2644</Characters>
  <Application>Microsoft Office Word</Application>
  <DocSecurity>0</DocSecurity>
  <Lines>22</Lines>
  <Paragraphs>6</Paragraphs>
  <ScaleCrop>false</ScaleCrop>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2025-05-28T05:19:00Z</dcterms:created>
  <dcterms:modified xsi:type="dcterms:W3CDTF">2025-05-28T05:25:00Z</dcterms:modified>
</cp:coreProperties>
</file>