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E1C8" w14:textId="4890E67B" w:rsidR="00BD2942" w:rsidRPr="00BD2942" w:rsidRDefault="00280BEB" w:rsidP="00BD2942">
      <w:pPr>
        <w:rPr>
          <w:b/>
          <w:bCs/>
        </w:rPr>
      </w:pPr>
      <w:r w:rsidRPr="00280BEB">
        <w:rPr>
          <w:rFonts w:ascii="MS Gothic" w:eastAsia="MS Gothic" w:hAnsi="MS Gothic" w:cs="MS Gothic" w:hint="eastAsia"/>
          <w:b/>
          <w:bCs/>
        </w:rPr>
        <w:t>太陽光発電（</w:t>
      </w:r>
      <w:r w:rsidRPr="00280BEB">
        <w:rPr>
          <w:b/>
          <w:bCs/>
        </w:rPr>
        <w:t>PV</w:t>
      </w:r>
      <w:r w:rsidRPr="00280BEB">
        <w:rPr>
          <w:rFonts w:ascii="MS Gothic" w:eastAsia="MS Gothic" w:hAnsi="MS Gothic" w:cs="MS Gothic" w:hint="eastAsia"/>
          <w:b/>
          <w:bCs/>
        </w:rPr>
        <w:t>）市場は</w:t>
      </w:r>
      <w:r w:rsidRPr="00280BEB">
        <w:rPr>
          <w:b/>
          <w:bCs/>
        </w:rPr>
        <w:t>2032</w:t>
      </w:r>
      <w:r w:rsidRPr="00280BEB">
        <w:rPr>
          <w:rFonts w:ascii="MS Gothic" w:eastAsia="MS Gothic" w:hAnsi="MS Gothic" w:cs="MS Gothic" w:hint="eastAsia"/>
          <w:b/>
          <w:bCs/>
        </w:rPr>
        <w:t>：成長、トレンド、そして日本の戦略的ポジション</w:t>
      </w:r>
    </w:p>
    <w:p w14:paraId="7EF27DCF" w14:textId="77777777" w:rsidR="00BD2942" w:rsidRDefault="00BD2942" w:rsidP="00BD2942"/>
    <w:p w14:paraId="37D16B55" w14:textId="505410A2" w:rsidR="00BD2942" w:rsidRDefault="00BD2942" w:rsidP="00BD2942">
      <w:r>
        <w:t>世界の</w:t>
      </w:r>
      <w:hyperlink r:id="rId5" w:history="1">
        <w:r w:rsidRPr="00BD2942">
          <w:rPr>
            <w:rStyle w:val="Hyperlink"/>
            <w:b/>
            <w:bCs/>
          </w:rPr>
          <w:t>太陽光発電（PV）市場は</w:t>
        </w:r>
      </w:hyperlink>
      <w:r>
        <w:t>変革期を迎えており、投資の増加、技術の進歩、そして強力な政策枠組みがクリーンエネルギーへの移行を加速させています。各国が野心的な気候変動対策目標の達成と化石燃料への依存度の低減を目指す中、太陽光発電、特に太陽光発電システムは、将来のエネルギーミックスの中心的な柱として台頭しています。主要プレーヤーの中でも、日本は先進技術、規制支援、そして高い国内需要を活かし、引き続き強力な地位を維持しています。</w:t>
      </w:r>
    </w:p>
    <w:p w14:paraId="780F5C8A" w14:textId="77777777" w:rsidR="00BD2942" w:rsidRDefault="00BD2942" w:rsidP="00BD2942"/>
    <w:p w14:paraId="005E10F9" w14:textId="414E7778" w:rsidR="00BD2942" w:rsidRDefault="00BD2942" w:rsidP="00BD2942">
      <w:r>
        <w:t xml:space="preserve">無料のサンプルレポートを入手する - </w:t>
      </w:r>
      <w:hyperlink r:id="rId6" w:history="1">
        <w:r w:rsidRPr="00B30E8F">
          <w:rPr>
            <w:rStyle w:val="Hyperlink"/>
          </w:rPr>
          <w:t>https://www.skyquestt.com/sample-request/photovoltaic-market</w:t>
        </w:r>
      </w:hyperlink>
      <w:r>
        <w:t xml:space="preserve"> </w:t>
      </w:r>
    </w:p>
    <w:p w14:paraId="33BDD73B" w14:textId="77777777" w:rsidR="00BD2942" w:rsidRDefault="00BD2942" w:rsidP="00BD2942"/>
    <w:p w14:paraId="14F6C3CF" w14:textId="77777777" w:rsidR="00BD2942" w:rsidRDefault="00BD2942" w:rsidP="00BD2942">
      <w:r>
        <w:t>世界の太陽光発電市場規模は、2024年に1,038.7億米ドル、2032年には2,194.4億米ドルと推定され、予測期間（2025～2032年）において年平均成長率（CAGR）9.8%で成長します。市場拡大は、太陽光モジュール価格の低下、環境意識の高まり、そして欧州、アジア太平洋、北米などの地域における政府の戦略的なインセンティブによって促進されています。大規模太陽光発電設備、住宅屋上システム、オフグリッドアプリケーションなど、様々な分野が、このセクターの多様かつダイナミックな成長に貢献しています。</w:t>
      </w:r>
    </w:p>
    <w:p w14:paraId="59C2A81A" w14:textId="77777777" w:rsidR="00BD2942" w:rsidRDefault="00BD2942" w:rsidP="00BD2942"/>
    <w:p w14:paraId="1BB7C75D" w14:textId="77777777" w:rsidR="00BD2942" w:rsidRDefault="00BD2942" w:rsidP="00BD2942">
      <w:r>
        <w:t>アフリカ、ラテンアメリカ、東南アジアの新興国では、太陽光発電をエネルギーインフラに統合する動きが加速しており、従来のエネルギー開発段階を飛躍的に進展させています。同時に、先進国では、太陽光発電の比率を高めるために既存の送電網を移行し、スマートグリッド技術、エネルギー貯蔵、先進的なインバータへの投資を通じて、システムの信頼性と効率性を高めています。</w:t>
      </w:r>
    </w:p>
    <w:p w14:paraId="7467ED0F" w14:textId="77777777" w:rsidR="00BD2942" w:rsidRDefault="00BD2942" w:rsidP="00BD2942"/>
    <w:p w14:paraId="51FE5415" w14:textId="77777777" w:rsidR="00BD2942" w:rsidRDefault="00BD2942" w:rsidP="00BD2942">
      <w:r>
        <w:t>日本の役割と立場</w:t>
      </w:r>
    </w:p>
    <w:p w14:paraId="24EC7861" w14:textId="77777777" w:rsidR="00BD2942" w:rsidRDefault="00BD2942" w:rsidP="00BD2942"/>
    <w:p w14:paraId="1ED2F768" w14:textId="77777777" w:rsidR="00BD2942" w:rsidRDefault="00BD2942" w:rsidP="00BD2942">
      <w:r>
        <w:t>日本は世界の太陽光発電市場において極めて重要なプレーヤーです。2011年の福島原発事故後、日本は再生可能エネルギー、特に太陽光発電の導入を加速させました。政府の積極的な固定価格買い取り制度は太陽光発電設備のブームを牽引し、日本は世界有数の太陽光発電市場の一つとなりました。補助金モデルは徐々に競争入札やネットメータリングへと移行してきましたが、成熟した競争力のある太陽光発電セクターの基盤は依然として強固です。</w:t>
      </w:r>
    </w:p>
    <w:p w14:paraId="1E6A2647" w14:textId="77777777" w:rsidR="00BD2942" w:rsidRDefault="00BD2942" w:rsidP="00BD2942"/>
    <w:p w14:paraId="694B2EEF" w14:textId="77777777" w:rsidR="00BD2942" w:rsidRDefault="00BD2942" w:rsidP="00BD2942">
      <w:r>
        <w:t>技術革新は日本の太陽光発電産業の大きな特徴です。日本には、高効率パネルや、ペロブスカイトセルや両面発電モジュールといった次世代太陽光発電技術の先進研究で知られる、世界的に有名な太陽光発電メーカーが数多く存在します。さらに、日本が建物一体型太陽光発電（BIPV）やソーラーカーポートに力を入れていることは、太陽光発電ソリューションを都市インフラに統合するという日本のコミットメントを反映しています。</w:t>
      </w:r>
    </w:p>
    <w:p w14:paraId="0454690F" w14:textId="77777777" w:rsidR="00BD2942" w:rsidRDefault="00BD2942" w:rsidP="00BD2942"/>
    <w:p w14:paraId="354F1CF2" w14:textId="3B9E5AA2" w:rsidR="00BD2942" w:rsidRDefault="00BD2942" w:rsidP="00BD2942">
      <w:r>
        <w:t xml:space="preserve">特定のビジネスニーズに対応するためにお問い合わせください - </w:t>
      </w:r>
      <w:hyperlink r:id="rId7" w:history="1">
        <w:r w:rsidRPr="00B30E8F">
          <w:rPr>
            <w:rStyle w:val="Hyperlink"/>
          </w:rPr>
          <w:t>https://www.skyquestt.com/speak-with-analyst/photovoltaic-market</w:t>
        </w:r>
      </w:hyperlink>
      <w:r>
        <w:t xml:space="preserve"> </w:t>
      </w:r>
    </w:p>
    <w:p w14:paraId="3716481B" w14:textId="77777777" w:rsidR="00BD2942" w:rsidRDefault="00BD2942" w:rsidP="00BD2942"/>
    <w:p w14:paraId="6CD905A1" w14:textId="77777777" w:rsidR="00BD2942" w:rsidRDefault="00BD2942" w:rsidP="00BD2942">
      <w:r>
        <w:t>太陽光発電市場セグメント分析</w:t>
      </w:r>
    </w:p>
    <w:p w14:paraId="5CB9D8D0" w14:textId="77777777" w:rsidR="00BD2942" w:rsidRDefault="00BD2942" w:rsidP="00BD2942"/>
    <w:p w14:paraId="60BF8FFB" w14:textId="77777777" w:rsidR="00BD2942" w:rsidRDefault="00BD2942" w:rsidP="00BD2942">
      <w:r>
        <w:t>世界の太陽光発電市場は、コンポーネント、材料、セルタイプ、設置タイプ、アプリケーション、地域によって分割されています。</w:t>
      </w:r>
    </w:p>
    <w:p w14:paraId="30038A05" w14:textId="77777777" w:rsidR="00BD2942" w:rsidRDefault="00BD2942" w:rsidP="00BD2942"/>
    <w:p w14:paraId="12D2A2A2" w14:textId="77777777" w:rsidR="00BD2942" w:rsidRDefault="00BD2942" w:rsidP="00BD2942">
      <w:r>
        <w:t>* コンポーネントに基づいて、市場はモジュール、インバーター、およびバランスオブシステム（BOS）に分類されます。</w:t>
      </w:r>
    </w:p>
    <w:p w14:paraId="35B5D8E6" w14:textId="77777777" w:rsidR="00BD2942" w:rsidRDefault="00BD2942" w:rsidP="00BD2942">
      <w:r>
        <w:t>* 材料に基づいて、市場はシリコンと化合物に分類されます。</w:t>
      </w:r>
    </w:p>
    <w:p w14:paraId="1C4EC44D" w14:textId="77777777" w:rsidR="00BD2942" w:rsidRDefault="00BD2942" w:rsidP="00BD2942">
      <w:r>
        <w:t>* セルタイプに基づいて、市場はフルセルPVモジュールとハーフセルPVモジュールに分類されます。</w:t>
      </w:r>
    </w:p>
    <w:p w14:paraId="14CD8229" w14:textId="77777777" w:rsidR="00BD2942" w:rsidRDefault="00BD2942" w:rsidP="00BD2942">
      <w:r>
        <w:t>* 設置タイプに基づいて、市場は地上設置型、建物一体型太陽光発電（BIPV）、および浮体式PVに分類されます。</w:t>
      </w:r>
    </w:p>
    <w:p w14:paraId="2B071D9C" w14:textId="77777777" w:rsidR="00BD2942" w:rsidRDefault="00BD2942" w:rsidP="00BD2942">
      <w:r>
        <w:t>* アプリケーションに基づいて、市場は住宅、商業および工業、ユーティリティに分類されます。</w:t>
      </w:r>
    </w:p>
    <w:p w14:paraId="4B07C4C9" w14:textId="77777777" w:rsidR="00BD2942" w:rsidRDefault="00BD2942" w:rsidP="00BD2942">
      <w:r>
        <w:t>* 地域に基づいて、市場は北米、ヨーロッパ、アジア太平洋、ラテンアメリカ、中東およびアフリカに分割されています。</w:t>
      </w:r>
    </w:p>
    <w:p w14:paraId="04152811" w14:textId="77777777" w:rsidR="00BD2942" w:rsidRDefault="00BD2942" w:rsidP="00BD2942"/>
    <w:p w14:paraId="3AAECDDF" w14:textId="77777777" w:rsidR="00BD2942" w:rsidRDefault="00BD2942" w:rsidP="00BD2942">
      <w:r>
        <w:t>市場のダイナミクスとトレンド</w:t>
      </w:r>
    </w:p>
    <w:p w14:paraId="5F1CB89B" w14:textId="77777777" w:rsidR="00BD2942" w:rsidRDefault="00BD2942" w:rsidP="00BD2942"/>
    <w:p w14:paraId="6BE2EEEB" w14:textId="77777777" w:rsidR="00BD2942" w:rsidRDefault="00BD2942" w:rsidP="00BD2942">
      <w:r>
        <w:t>2032 年までに世界および日本の太陽光発電市場を形成する主なトレンドがいくつか予想されます。</w:t>
      </w:r>
    </w:p>
    <w:p w14:paraId="7BF49AB0" w14:textId="77777777" w:rsidR="00BD2942" w:rsidRDefault="00BD2942" w:rsidP="00BD2942"/>
    <w:p w14:paraId="71DF52BD" w14:textId="77777777" w:rsidR="00BD2942" w:rsidRDefault="00BD2942" w:rsidP="00BD2942">
      <w:r>
        <w:t>* グリッドパリティとコスト削減: PV 技術の継続的な改善、製造における規模の経済、より効率的な設置方法により、太陽エネルギーは従来のエネルギー源に対してますますコスト競争力を持つようになっています。</w:t>
      </w:r>
    </w:p>
    <w:p w14:paraId="1F75FFCB" w14:textId="77777777" w:rsidR="00BD2942" w:rsidRDefault="00BD2942" w:rsidP="00BD2942">
      <w:r>
        <w:t>* エネルギー貯蔵の統合：太陽光発電の普及が進むにつれ、エネルギー貯蔵の必要性がますます高まっています。特にリチウムイオン電池や全固体電池といったバッテリー技術の進歩は、太陽光発電システムとの新たな相乗効果を生み出しています。</w:t>
      </w:r>
    </w:p>
    <w:p w14:paraId="0CE2CE37" w14:textId="77777777" w:rsidR="00BD2942" w:rsidRDefault="00BD2942" w:rsidP="00BD2942">
      <w:r>
        <w:t>* 分散型エネルギーモデル: 分散型発電、ピアツーピアのエネルギー取引、マイクログリッドは、土地の制約と都市の密度により革新的な太陽光発電導入戦略が求められる日本を中心に注目を集めています。</w:t>
      </w:r>
    </w:p>
    <w:p w14:paraId="740DC1AF" w14:textId="77777777" w:rsidR="00BD2942" w:rsidRDefault="00BD2942" w:rsidP="00BD2942">
      <w:r>
        <w:lastRenderedPageBreak/>
        <w:t>* 気候政策と脱炭素化目標：国内および国際的な気候変動対策目標が太陽光発電の導入を促進しています。日本は2050年までにカーボンニュートラルを達成することを公約しており、太陽光発電は脱炭素化ロードマップの中核を担っています。</w:t>
      </w:r>
    </w:p>
    <w:p w14:paraId="4ECC4F22" w14:textId="77777777" w:rsidR="00BD2942" w:rsidRDefault="00BD2942" w:rsidP="00BD2942"/>
    <w:p w14:paraId="0F04AF3C" w14:textId="6582343E" w:rsidR="00BD2942" w:rsidRDefault="00BD2942" w:rsidP="00BD2942">
      <w:r>
        <w:t xml:space="preserve">今すぐ行動を起こしましょう: 今すぐ太陽光発電市場を確保しましょう - </w:t>
      </w:r>
      <w:hyperlink r:id="rId8" w:history="1">
        <w:r w:rsidRPr="00B30E8F">
          <w:rPr>
            <w:rStyle w:val="Hyperlink"/>
          </w:rPr>
          <w:t>https://www.skyquestt.com/buy-now/photovoltaic-market</w:t>
        </w:r>
      </w:hyperlink>
      <w:r>
        <w:t xml:space="preserve"> </w:t>
      </w:r>
    </w:p>
    <w:p w14:paraId="41C34925" w14:textId="77777777" w:rsidR="00BD2942" w:rsidRDefault="00BD2942" w:rsidP="00BD2942"/>
    <w:p w14:paraId="6FA7B8BA" w14:textId="30FEB38B" w:rsidR="00BD2942" w:rsidRDefault="00BD2942" w:rsidP="00BD2942">
      <w:r>
        <w:t>トッププレーヤーの企業プロフィール</w:t>
      </w:r>
    </w:p>
    <w:p w14:paraId="10669E4D" w14:textId="77777777" w:rsidR="00BD2942" w:rsidRDefault="00BD2942" w:rsidP="00BD2942">
      <w:pPr>
        <w:pStyle w:val="ListParagraph"/>
        <w:numPr>
          <w:ilvl w:val="0"/>
          <w:numId w:val="1"/>
        </w:numPr>
      </w:pPr>
      <w:r>
        <w:t>ジンコソーラー（中国）</w:t>
      </w:r>
    </w:p>
    <w:p w14:paraId="4BD3A4A6" w14:textId="77777777" w:rsidR="00BD2942" w:rsidRDefault="00BD2942" w:rsidP="00BD2942">
      <w:pPr>
        <w:pStyle w:val="ListParagraph"/>
        <w:numPr>
          <w:ilvl w:val="0"/>
          <w:numId w:val="1"/>
        </w:numPr>
      </w:pPr>
      <w:r>
        <w:t>ロンジグリーンエネルギーテクノロジー（中国）</w:t>
      </w:r>
    </w:p>
    <w:p w14:paraId="11604262" w14:textId="77777777" w:rsidR="00BD2942" w:rsidRDefault="00BD2942" w:rsidP="00BD2942">
      <w:pPr>
        <w:pStyle w:val="ListParagraph"/>
        <w:numPr>
          <w:ilvl w:val="0"/>
          <w:numId w:val="1"/>
        </w:numPr>
      </w:pPr>
      <w:r>
        <w:t>カナディアン・ソーラー（カナダ）</w:t>
      </w:r>
    </w:p>
    <w:p w14:paraId="34DF676B" w14:textId="77777777" w:rsidR="00BD2942" w:rsidRDefault="00BD2942" w:rsidP="00BD2942">
      <w:pPr>
        <w:pStyle w:val="ListParagraph"/>
        <w:numPr>
          <w:ilvl w:val="0"/>
          <w:numId w:val="1"/>
        </w:numPr>
      </w:pPr>
      <w:r>
        <w:t>トリナ・ソーラー（中国）</w:t>
      </w:r>
    </w:p>
    <w:p w14:paraId="798F4816" w14:textId="77777777" w:rsidR="00BD2942" w:rsidRDefault="00BD2942" w:rsidP="00BD2942">
      <w:pPr>
        <w:pStyle w:val="ListParagraph"/>
        <w:numPr>
          <w:ilvl w:val="0"/>
          <w:numId w:val="1"/>
        </w:numPr>
      </w:pPr>
      <w:r>
        <w:t>ファーストソーラー（米国）</w:t>
      </w:r>
    </w:p>
    <w:p w14:paraId="08CD7A7E" w14:textId="77777777" w:rsidR="00BD2942" w:rsidRDefault="00BD2942" w:rsidP="00BD2942">
      <w:pPr>
        <w:pStyle w:val="ListParagraph"/>
        <w:numPr>
          <w:ilvl w:val="0"/>
          <w:numId w:val="1"/>
        </w:numPr>
      </w:pPr>
      <w:r>
        <w:t>JAソーラー（中国）</w:t>
      </w:r>
    </w:p>
    <w:p w14:paraId="4DE0E90C" w14:textId="77777777" w:rsidR="00BD2942" w:rsidRDefault="00BD2942" w:rsidP="00BD2942">
      <w:pPr>
        <w:pStyle w:val="ListParagraph"/>
        <w:numPr>
          <w:ilvl w:val="0"/>
          <w:numId w:val="1"/>
        </w:numPr>
      </w:pPr>
      <w:r>
        <w:t>ハンファQセルズ（韓国）</w:t>
      </w:r>
    </w:p>
    <w:p w14:paraId="485950D1" w14:textId="77777777" w:rsidR="00BD2942" w:rsidRDefault="00BD2942" w:rsidP="00BD2942">
      <w:pPr>
        <w:pStyle w:val="ListParagraph"/>
        <w:numPr>
          <w:ilvl w:val="0"/>
          <w:numId w:val="1"/>
        </w:numPr>
      </w:pPr>
      <w:r>
        <w:t>ライゼンエナジー（中国）</w:t>
      </w:r>
    </w:p>
    <w:p w14:paraId="257E4B80" w14:textId="77777777" w:rsidR="00BD2942" w:rsidRDefault="00BD2942" w:rsidP="00BD2942">
      <w:pPr>
        <w:pStyle w:val="ListParagraph"/>
        <w:numPr>
          <w:ilvl w:val="0"/>
          <w:numId w:val="1"/>
        </w:numPr>
      </w:pPr>
      <w:r>
        <w:t>サンパワーコーポレーション（米国）</w:t>
      </w:r>
    </w:p>
    <w:p w14:paraId="792344B7" w14:textId="77777777" w:rsidR="00BD2942" w:rsidRDefault="00BD2942" w:rsidP="00BD2942">
      <w:pPr>
        <w:pStyle w:val="ListParagraph"/>
        <w:numPr>
          <w:ilvl w:val="0"/>
          <w:numId w:val="1"/>
        </w:numPr>
      </w:pPr>
      <w:r>
        <w:t>GCL-Poly Energy Holdings Limited（中国）</w:t>
      </w:r>
    </w:p>
    <w:p w14:paraId="59100ACD" w14:textId="77777777" w:rsidR="00BD2942" w:rsidRDefault="00BD2942" w:rsidP="00BD2942">
      <w:pPr>
        <w:pStyle w:val="ListParagraph"/>
        <w:numPr>
          <w:ilvl w:val="0"/>
          <w:numId w:val="1"/>
        </w:numPr>
      </w:pPr>
      <w:r>
        <w:t>テイルサンソーラー（中国）</w:t>
      </w:r>
    </w:p>
    <w:p w14:paraId="577B5115" w14:textId="77777777" w:rsidR="00BD2942" w:rsidRDefault="00BD2942" w:rsidP="00BD2942">
      <w:pPr>
        <w:pStyle w:val="ListParagraph"/>
        <w:numPr>
          <w:ilvl w:val="0"/>
          <w:numId w:val="1"/>
        </w:numPr>
      </w:pPr>
      <w:r>
        <w:t>サンテックパワー（中国）</w:t>
      </w:r>
    </w:p>
    <w:p w14:paraId="30E28113" w14:textId="77777777" w:rsidR="00BD2942" w:rsidRDefault="00BD2942" w:rsidP="00BD2942">
      <w:pPr>
        <w:pStyle w:val="ListParagraph"/>
        <w:numPr>
          <w:ilvl w:val="0"/>
          <w:numId w:val="1"/>
        </w:numPr>
      </w:pPr>
      <w:r>
        <w:t>インリーソーラー（中国）</w:t>
      </w:r>
    </w:p>
    <w:p w14:paraId="7C7E85B3" w14:textId="77777777" w:rsidR="00BD2942" w:rsidRDefault="00BD2942" w:rsidP="00BD2942">
      <w:pPr>
        <w:pStyle w:val="ListParagraph"/>
        <w:numPr>
          <w:ilvl w:val="0"/>
          <w:numId w:val="1"/>
        </w:numPr>
      </w:pPr>
      <w:r>
        <w:t>RECグループ（ノルウェー）</w:t>
      </w:r>
    </w:p>
    <w:p w14:paraId="1CDC0F07" w14:textId="77777777" w:rsidR="00BD2942" w:rsidRDefault="00BD2942" w:rsidP="00BD2942">
      <w:pPr>
        <w:pStyle w:val="ListParagraph"/>
        <w:numPr>
          <w:ilvl w:val="0"/>
          <w:numId w:val="1"/>
        </w:numPr>
      </w:pPr>
      <w:r>
        <w:t>セラフィムソーラー（中国）</w:t>
      </w:r>
    </w:p>
    <w:p w14:paraId="413941B4" w14:textId="77777777" w:rsidR="00BD2942" w:rsidRDefault="00BD2942" w:rsidP="00BD2942">
      <w:pPr>
        <w:pStyle w:val="ListParagraph"/>
        <w:numPr>
          <w:ilvl w:val="0"/>
          <w:numId w:val="1"/>
        </w:numPr>
      </w:pPr>
      <w:r>
        <w:t>チントソーラー（アストロナジー）（中国）</w:t>
      </w:r>
    </w:p>
    <w:p w14:paraId="4C9A7F24" w14:textId="77777777" w:rsidR="00BD2942" w:rsidRDefault="00BD2942" w:rsidP="00BD2942">
      <w:pPr>
        <w:pStyle w:val="ListParagraph"/>
        <w:numPr>
          <w:ilvl w:val="0"/>
          <w:numId w:val="1"/>
        </w:numPr>
      </w:pPr>
      <w:r>
        <w:t>シャープ株式会社（日本）</w:t>
      </w:r>
    </w:p>
    <w:p w14:paraId="5E0C5F5E" w14:textId="77777777" w:rsidR="00BD2942" w:rsidRDefault="00BD2942" w:rsidP="00BD2942">
      <w:pPr>
        <w:pStyle w:val="ListParagraph"/>
        <w:numPr>
          <w:ilvl w:val="0"/>
          <w:numId w:val="1"/>
        </w:numPr>
      </w:pPr>
      <w:r>
        <w:t>パナソニック株式会社（日本）</w:t>
      </w:r>
    </w:p>
    <w:p w14:paraId="1BB38A71" w14:textId="77777777" w:rsidR="00BD2942" w:rsidRDefault="00BD2942" w:rsidP="00BD2942">
      <w:pPr>
        <w:pStyle w:val="ListParagraph"/>
        <w:numPr>
          <w:ilvl w:val="0"/>
          <w:numId w:val="1"/>
        </w:numPr>
      </w:pPr>
      <w:r>
        <w:t>LGエレクトロニクス（韓国）</w:t>
      </w:r>
    </w:p>
    <w:p w14:paraId="51D2DD1A" w14:textId="77777777" w:rsidR="00BD2942" w:rsidRDefault="00BD2942" w:rsidP="00BD2942">
      <w:pPr>
        <w:pStyle w:val="ListParagraph"/>
        <w:numPr>
          <w:ilvl w:val="0"/>
          <w:numId w:val="1"/>
        </w:numPr>
      </w:pPr>
      <w:r>
        <w:t>マイヤーバーガーテクノロジーAG（スイス）</w:t>
      </w:r>
    </w:p>
    <w:p w14:paraId="2179164C" w14:textId="77777777" w:rsidR="00BD2942" w:rsidRDefault="00BD2942" w:rsidP="00BD2942"/>
    <w:p w14:paraId="3D593202" w14:textId="77777777" w:rsidR="00BD2942" w:rsidRDefault="00BD2942" w:rsidP="00BD2942">
      <w:r>
        <w:t>2032年までの成長予測</w:t>
      </w:r>
    </w:p>
    <w:p w14:paraId="21E04CBF" w14:textId="77777777" w:rsidR="00BD2942" w:rsidRDefault="00BD2942" w:rsidP="00BD2942"/>
    <w:p w14:paraId="34ED02F2" w14:textId="77777777" w:rsidR="00BD2942" w:rsidRDefault="00BD2942" w:rsidP="00BD2942">
      <w:r>
        <w:t>世界の太陽光発電市場は、2032年まで9.8%という堅調な年平均成長率（CAGR）で成長し、総設置容量は数テラワットを超えると予想されています。アジア太平洋地域は、中国、インド、日本、そして新興東南アジア諸国に支えられ、引き続き市場の中心となるでしょう。日本の市場は成熟度が高いものの、イノベーション、太陽光発電技術の輸出、そして老朽化したシステムからより効率的なシステムへの更新を通じて、引き続き成長していくと予想されます。</w:t>
      </w:r>
    </w:p>
    <w:p w14:paraId="0396C34D" w14:textId="77777777" w:rsidR="00BD2942" w:rsidRDefault="00BD2942" w:rsidP="00BD2942"/>
    <w:p w14:paraId="49CF1C17" w14:textId="77777777" w:rsidR="00BD2942" w:rsidRDefault="00BD2942" w:rsidP="00BD2942">
      <w:r>
        <w:lastRenderedPageBreak/>
        <w:t>日本国内市場は、太陽光発電が単なる補助ではなくエネルギー戦略の基盤となる、自家消費型モデルやゼロ・エネルギー・ビルディング（ZEB）へのシフトが進むと予想されています。さらに、水上太陽光発電所や鉄道・高速道路上空に設置される太陽光発電インフラは、スペースが限られた地域における新たな展開のフロンティアとなります。</w:t>
      </w:r>
    </w:p>
    <w:p w14:paraId="29758442" w14:textId="77777777" w:rsidR="00BD2942" w:rsidRDefault="00BD2942" w:rsidP="00BD2942"/>
    <w:p w14:paraId="1C5FB304" w14:textId="6151AD7C" w:rsidR="00BD2942" w:rsidRDefault="00BD2942" w:rsidP="00BD2942">
      <w:r>
        <w:t xml:space="preserve">今すぐ太陽光発電市場レポートをお読みください - </w:t>
      </w:r>
      <w:hyperlink r:id="rId9" w:history="1">
        <w:r w:rsidRPr="00B30E8F">
          <w:rPr>
            <w:rStyle w:val="Hyperlink"/>
          </w:rPr>
          <w:t>https://www.skyquestt.com/report/photovoltaic-market</w:t>
        </w:r>
      </w:hyperlink>
      <w:r>
        <w:t xml:space="preserve"> </w:t>
      </w:r>
    </w:p>
    <w:p w14:paraId="1E636E88" w14:textId="77777777" w:rsidR="00BD2942" w:rsidRDefault="00BD2942" w:rsidP="00BD2942"/>
    <w:p w14:paraId="67941538" w14:textId="77777777" w:rsidR="00BD2942" w:rsidRDefault="00BD2942" w:rsidP="00BD2942">
      <w:r>
        <w:t>世界の太陽光発電市場における日本の影響力は、設置数にとどまりません。技術トレンド、品質基準、そして持続可能な導入モデルの形成において、日本は戦略的な役割を果たしています。世界が低炭素社会への移行を進める中、日本の技術革新とクリーンエネルギーに対する世界的な需要の相乗効果により、日本は太陽光発電革命の重要な貢献者としての地位を確立しています。2032年までの太陽光発電市場は、力強い成長、国際的な連携、そして世界におけるエネルギーの生産と消費の方法の大きな変化を約束しています。</w:t>
      </w:r>
    </w:p>
    <w:p w14:paraId="36FEFFED" w14:textId="77777777" w:rsidR="00BD2942" w:rsidRDefault="00BD2942" w:rsidP="00BD2942"/>
    <w:p w14:paraId="5BFB3DFF" w14:textId="1AF9C5BA" w:rsidR="00BD2942" w:rsidRDefault="00BD2942" w:rsidP="00BD2942">
      <w:r>
        <w:t>その他の研究を参照 –</w:t>
      </w:r>
    </w:p>
    <w:p w14:paraId="0FC18E03" w14:textId="77777777" w:rsidR="00BD2942" w:rsidRDefault="00BD2942" w:rsidP="00BD2942"/>
    <w:p w14:paraId="50863847" w14:textId="1FD4C917" w:rsidR="00BD2942" w:rsidRDefault="00BD2942" w:rsidP="00BD2942">
      <w:r>
        <w:t xml:space="preserve">水・廃水処理設備市場 - </w:t>
      </w:r>
      <w:hyperlink r:id="rId10" w:history="1">
        <w:r w:rsidRPr="00B30E8F">
          <w:rPr>
            <w:rStyle w:val="Hyperlink"/>
          </w:rPr>
          <w:t>https://medium.com/@prateekskyquest/water-and-wastewater-treatment-equipment-market-growth-insights-for-the-next-decade-6cf3b7e87e59</w:t>
        </w:r>
      </w:hyperlink>
      <w:r>
        <w:t xml:space="preserve"> </w:t>
      </w:r>
    </w:p>
    <w:p w14:paraId="4829D110" w14:textId="1EF71FFC" w:rsidR="00BD2942" w:rsidRDefault="00BD2942" w:rsidP="00BD2942">
      <w:r>
        <w:t xml:space="preserve">水素市場 - </w:t>
      </w:r>
      <w:hyperlink r:id="rId11" w:history="1">
        <w:r w:rsidRPr="00B30E8F">
          <w:rPr>
            <w:rStyle w:val="Hyperlink"/>
          </w:rPr>
          <w:t>https://medium.com/@prateekskyquest/hydrogen-market-rapid-expansion-driven-by-technological-advancements-and-sustainability-cbb55338554a</w:t>
        </w:r>
      </w:hyperlink>
      <w:r>
        <w:t xml:space="preserve"> </w:t>
      </w:r>
    </w:p>
    <w:p w14:paraId="0746216B" w14:textId="58A7FCF2" w:rsidR="00BD2942" w:rsidRDefault="00BD2942" w:rsidP="00BD2942">
      <w:r>
        <w:t xml:space="preserve">プレフィルドシリンジ市場 - </w:t>
      </w:r>
      <w:hyperlink r:id="rId12" w:history="1">
        <w:r w:rsidRPr="00B30E8F">
          <w:rPr>
            <w:rStyle w:val="Hyperlink"/>
          </w:rPr>
          <w:t>https://medium.com/@prateekskyquest/prefilled-syringes-market-growth-by-region-insights-from-north-america-europe-and-asia-2032-697f0f1001db</w:t>
        </w:r>
      </w:hyperlink>
      <w:r>
        <w:t xml:space="preserve"> </w:t>
      </w:r>
    </w:p>
    <w:p w14:paraId="287CA7BE" w14:textId="6AFCAA2C" w:rsidR="00BD2942" w:rsidRDefault="00BD2942" w:rsidP="00BD2942">
      <w:r>
        <w:t xml:space="preserve">体外診断（IVD）市場 - </w:t>
      </w:r>
      <w:hyperlink r:id="rId13" w:history="1">
        <w:r w:rsidRPr="00B30E8F">
          <w:rPr>
            <w:rStyle w:val="Hyperlink"/>
          </w:rPr>
          <w:t>https://medium.com/@prateekskyquest/in-vitro-diagnostics-market-growth-industry-size-and-share-insights-to-2032-772359705685</w:t>
        </w:r>
      </w:hyperlink>
      <w:r>
        <w:t xml:space="preserve"> </w:t>
      </w:r>
    </w:p>
    <w:p w14:paraId="775AF582" w14:textId="1F9A95D8" w:rsidR="0077184B" w:rsidRDefault="00BD2942" w:rsidP="00BD2942">
      <w:r>
        <w:t xml:space="preserve">医療用外骨格市場 - </w:t>
      </w:r>
      <w:hyperlink r:id="rId14" w:history="1">
        <w:r w:rsidRPr="00B30E8F">
          <w:rPr>
            <w:rStyle w:val="Hyperlink"/>
          </w:rPr>
          <w:t>https://medium.com/@prateekskyquest/medical-exoskeleton-market-growth-drivers-and-trends-whats-next-for-2032-7f201585029d</w:t>
        </w:r>
      </w:hyperlink>
      <w:r>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398"/>
    <w:multiLevelType w:val="hybridMultilevel"/>
    <w:tmpl w:val="9D401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1673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8B"/>
    <w:rsid w:val="00040F0D"/>
    <w:rsid w:val="000A6E5C"/>
    <w:rsid w:val="002231B8"/>
    <w:rsid w:val="00280BEB"/>
    <w:rsid w:val="00726AF7"/>
    <w:rsid w:val="0077184B"/>
    <w:rsid w:val="00886C8B"/>
    <w:rsid w:val="00BD2942"/>
    <w:rsid w:val="00FD2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9473"/>
  <w15:chartTrackingRefBased/>
  <w15:docId w15:val="{90D691D1-4727-4845-B6BE-07C3C4B7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C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C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C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C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C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C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C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C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C8B"/>
    <w:rPr>
      <w:rFonts w:eastAsiaTheme="majorEastAsia" w:cstheme="majorBidi"/>
      <w:color w:val="272727" w:themeColor="text1" w:themeTint="D8"/>
    </w:rPr>
  </w:style>
  <w:style w:type="paragraph" w:styleId="Title">
    <w:name w:val="Title"/>
    <w:basedOn w:val="Normal"/>
    <w:next w:val="Normal"/>
    <w:link w:val="TitleChar"/>
    <w:uiPriority w:val="10"/>
    <w:qFormat/>
    <w:rsid w:val="00886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C8B"/>
    <w:pPr>
      <w:spacing w:before="160"/>
      <w:jc w:val="center"/>
    </w:pPr>
    <w:rPr>
      <w:i/>
      <w:iCs/>
      <w:color w:val="404040" w:themeColor="text1" w:themeTint="BF"/>
    </w:rPr>
  </w:style>
  <w:style w:type="character" w:customStyle="1" w:styleId="QuoteChar">
    <w:name w:val="Quote Char"/>
    <w:basedOn w:val="DefaultParagraphFont"/>
    <w:link w:val="Quote"/>
    <w:uiPriority w:val="29"/>
    <w:rsid w:val="00886C8B"/>
    <w:rPr>
      <w:i/>
      <w:iCs/>
      <w:color w:val="404040" w:themeColor="text1" w:themeTint="BF"/>
    </w:rPr>
  </w:style>
  <w:style w:type="paragraph" w:styleId="ListParagraph">
    <w:name w:val="List Paragraph"/>
    <w:basedOn w:val="Normal"/>
    <w:uiPriority w:val="34"/>
    <w:qFormat/>
    <w:rsid w:val="00886C8B"/>
    <w:pPr>
      <w:ind w:left="720"/>
      <w:contextualSpacing/>
    </w:pPr>
  </w:style>
  <w:style w:type="character" w:styleId="IntenseEmphasis">
    <w:name w:val="Intense Emphasis"/>
    <w:basedOn w:val="DefaultParagraphFont"/>
    <w:uiPriority w:val="21"/>
    <w:qFormat/>
    <w:rsid w:val="00886C8B"/>
    <w:rPr>
      <w:i/>
      <w:iCs/>
      <w:color w:val="2F5496" w:themeColor="accent1" w:themeShade="BF"/>
    </w:rPr>
  </w:style>
  <w:style w:type="paragraph" w:styleId="IntenseQuote">
    <w:name w:val="Intense Quote"/>
    <w:basedOn w:val="Normal"/>
    <w:next w:val="Normal"/>
    <w:link w:val="IntenseQuoteChar"/>
    <w:uiPriority w:val="30"/>
    <w:qFormat/>
    <w:rsid w:val="00886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C8B"/>
    <w:rPr>
      <w:i/>
      <w:iCs/>
      <w:color w:val="2F5496" w:themeColor="accent1" w:themeShade="BF"/>
    </w:rPr>
  </w:style>
  <w:style w:type="character" w:styleId="IntenseReference">
    <w:name w:val="Intense Reference"/>
    <w:basedOn w:val="DefaultParagraphFont"/>
    <w:uiPriority w:val="32"/>
    <w:qFormat/>
    <w:rsid w:val="00886C8B"/>
    <w:rPr>
      <w:b/>
      <w:bCs/>
      <w:smallCaps/>
      <w:color w:val="2F5496" w:themeColor="accent1" w:themeShade="BF"/>
      <w:spacing w:val="5"/>
    </w:rPr>
  </w:style>
  <w:style w:type="character" w:styleId="Hyperlink">
    <w:name w:val="Hyperlink"/>
    <w:basedOn w:val="DefaultParagraphFont"/>
    <w:uiPriority w:val="99"/>
    <w:unhideWhenUsed/>
    <w:rsid w:val="00BD2942"/>
    <w:rPr>
      <w:color w:val="0563C1" w:themeColor="hyperlink"/>
      <w:u w:val="single"/>
    </w:rPr>
  </w:style>
  <w:style w:type="character" w:styleId="UnresolvedMention">
    <w:name w:val="Unresolved Mention"/>
    <w:basedOn w:val="DefaultParagraphFont"/>
    <w:uiPriority w:val="99"/>
    <w:semiHidden/>
    <w:unhideWhenUsed/>
    <w:rsid w:val="00BD2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hotovoltaic-market" TargetMode="External"/><Relationship Id="rId13" Type="http://schemas.openxmlformats.org/officeDocument/2006/relationships/hyperlink" Target="https://medium.com/@prateekskyquest/in-vitro-diagnostics-market-growth-industry-size-and-share-insights-to-2032-772359705685" TargetMode="External"/><Relationship Id="rId3" Type="http://schemas.openxmlformats.org/officeDocument/2006/relationships/settings" Target="settings.xml"/><Relationship Id="rId7" Type="http://schemas.openxmlformats.org/officeDocument/2006/relationships/hyperlink" Target="https://www.skyquestt.com/speak-with-analyst/photovoltaic-market" TargetMode="External"/><Relationship Id="rId12" Type="http://schemas.openxmlformats.org/officeDocument/2006/relationships/hyperlink" Target="https://medium.com/@prateekskyquest/prefilled-syringes-market-growth-by-region-insights-from-north-america-europe-and-asia-2032-697f0f1001d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photovoltaic-market" TargetMode="External"/><Relationship Id="rId11" Type="http://schemas.openxmlformats.org/officeDocument/2006/relationships/hyperlink" Target="https://medium.com/@prateekskyquest/hydrogen-market-rapid-expansion-driven-by-technological-advancements-and-sustainability-cbb55338554a" TargetMode="External"/><Relationship Id="rId5" Type="http://schemas.openxmlformats.org/officeDocument/2006/relationships/hyperlink" Target="https://www.skyquestt.com/report/photovoltaic-market" TargetMode="External"/><Relationship Id="rId15" Type="http://schemas.openxmlformats.org/officeDocument/2006/relationships/fontTable" Target="fontTable.xml"/><Relationship Id="rId10" Type="http://schemas.openxmlformats.org/officeDocument/2006/relationships/hyperlink" Target="https://medium.com/@prateekskyquest/water-and-wastewater-treatment-equipment-market-growth-insights-for-the-next-decade-6cf3b7e87e59" TargetMode="External"/><Relationship Id="rId4" Type="http://schemas.openxmlformats.org/officeDocument/2006/relationships/webSettings" Target="webSettings.xml"/><Relationship Id="rId9" Type="http://schemas.openxmlformats.org/officeDocument/2006/relationships/hyperlink" Target="https://www.skyquestt.com/report/photovoltaic-market" TargetMode="External"/><Relationship Id="rId14" Type="http://schemas.openxmlformats.org/officeDocument/2006/relationships/hyperlink" Target="https://medium.com/@prateekskyquest/medical-exoskeleton-market-growth-drivers-and-trends-whats-next-for-2032-7f20158502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2025-06-12T05:32:00Z</dcterms:created>
  <dcterms:modified xsi:type="dcterms:W3CDTF">2025-06-12T05:49:00Z</dcterms:modified>
</cp:coreProperties>
</file>