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F426" w14:textId="19E9976C" w:rsidR="001F5C9C" w:rsidRDefault="001F5C9C" w:rsidP="001F5C9C">
      <w:pPr>
        <w:rPr>
          <w:b/>
          <w:bCs/>
        </w:rPr>
      </w:pPr>
      <w:r w:rsidRPr="001F5C9C">
        <w:rPr>
          <w:b/>
          <w:bCs/>
        </w:rPr>
        <w:t xml:space="preserve">Contract Research Organization Market </w:t>
      </w:r>
      <w:r>
        <w:rPr>
          <w:b/>
          <w:bCs/>
        </w:rPr>
        <w:t xml:space="preserve">to grow </w:t>
      </w:r>
      <w:r w:rsidRPr="001F5C9C">
        <w:rPr>
          <w:b/>
          <w:bCs/>
        </w:rPr>
        <w:t>USD 125.64 billion by 2032</w:t>
      </w:r>
      <w:r>
        <w:rPr>
          <w:b/>
          <w:bCs/>
        </w:rPr>
        <w:t xml:space="preserve"> with</w:t>
      </w:r>
      <w:r w:rsidRPr="001F5C9C">
        <w:rPr>
          <w:b/>
          <w:bCs/>
        </w:rPr>
        <w:t xml:space="preserve"> </w:t>
      </w:r>
      <w:r>
        <w:rPr>
          <w:b/>
          <w:bCs/>
        </w:rPr>
        <w:t>8.3</w:t>
      </w:r>
      <w:r w:rsidRPr="001F5C9C">
        <w:rPr>
          <w:b/>
          <w:bCs/>
        </w:rPr>
        <w:t xml:space="preserve">% CAGR </w:t>
      </w:r>
    </w:p>
    <w:p w14:paraId="66B44894" w14:textId="441E416E" w:rsidR="001F5C9C" w:rsidRDefault="001F5C9C" w:rsidP="001F5C9C">
      <w:r w:rsidRPr="001F5C9C">
        <w:t>The growing popularity of outsourcing in the healthcare industry and rising costs of manufacturing around the world are projected to primarily augment contract research organization market growth. High investments in medical research and growing number of clinical trials are also expected to bring more business for contract research organizations in the future. Increasing complexity of drug development processes will also promote the demand for contract research organizations on a global level.</w:t>
      </w:r>
    </w:p>
    <w:p w14:paraId="623C8622" w14:textId="51C63E97" w:rsidR="001F5C9C" w:rsidRPr="001F5C9C" w:rsidRDefault="001F5C9C" w:rsidP="001F5C9C">
      <w:pPr>
        <w:rPr>
          <w:b/>
          <w:bCs/>
        </w:rPr>
      </w:pPr>
      <w:r w:rsidRPr="001F5C9C">
        <w:rPr>
          <w:b/>
          <w:bCs/>
        </w:rPr>
        <w:t xml:space="preserve">Global Contract Research Organization Market size was valued at USD 61.3 billion in 2023 and is poised to grow from USD 66.39 billion in </w:t>
      </w:r>
      <w:r>
        <w:rPr>
          <w:b/>
          <w:bCs/>
        </w:rPr>
        <w:t>2025</w:t>
      </w:r>
      <w:r w:rsidRPr="001F5C9C">
        <w:rPr>
          <w:b/>
          <w:bCs/>
        </w:rPr>
        <w:t xml:space="preserve"> to USD 125.64 billion by 2032, growing at a CAGR of 8.3% during the forecast period (2025-2032).</w:t>
      </w:r>
    </w:p>
    <w:p w14:paraId="1F628472" w14:textId="37EF0F70" w:rsidR="001F5C9C" w:rsidRPr="001F5C9C" w:rsidRDefault="001F5C9C" w:rsidP="001F5C9C">
      <w:r w:rsidRPr="001F5C9C">
        <w:rPr>
          <w:b/>
          <w:bCs/>
        </w:rPr>
        <w:t>Get Your Free Sample Report:</w:t>
      </w:r>
      <w:r>
        <w:t xml:space="preserve"> </w:t>
      </w:r>
      <w:hyperlink r:id="rId5" w:history="1">
        <w:r w:rsidRPr="00AB47DB">
          <w:rPr>
            <w:rStyle w:val="Hyperlink"/>
          </w:rPr>
          <w:t>https://www.skyquestt.com/sample-request/contract-research-organization-market</w:t>
        </w:r>
      </w:hyperlink>
      <w:r>
        <w:t xml:space="preserve"> </w:t>
      </w:r>
    </w:p>
    <w:p w14:paraId="36224E88" w14:textId="001CAA0C" w:rsidR="001F5C9C" w:rsidRPr="001F5C9C" w:rsidRDefault="001F5C9C" w:rsidP="001F5C9C">
      <w:pPr>
        <w:rPr>
          <w:b/>
          <w:bCs/>
        </w:rPr>
      </w:pPr>
      <w:r w:rsidRPr="001F5C9C">
        <w:rPr>
          <w:b/>
          <w:bCs/>
        </w:rPr>
        <w:t>Key Market Highlights</w:t>
      </w:r>
    </w:p>
    <w:p w14:paraId="5D2B9969" w14:textId="0DC45C24" w:rsidR="001F5C9C" w:rsidRPr="001F5C9C" w:rsidRDefault="001F5C9C" w:rsidP="001F5C9C">
      <w:pPr>
        <w:numPr>
          <w:ilvl w:val="0"/>
          <w:numId w:val="1"/>
        </w:numPr>
      </w:pPr>
      <w:r w:rsidRPr="001F5C9C">
        <w:rPr>
          <w:b/>
          <w:bCs/>
        </w:rPr>
        <w:t>Robust CAGR:</w:t>
      </w:r>
      <w:r w:rsidRPr="001F5C9C">
        <w:t xml:space="preserve"> Expected to grow at a compound annual growth rate between 8–12.5% from </w:t>
      </w:r>
      <w:r>
        <w:t>2025</w:t>
      </w:r>
      <w:r w:rsidRPr="001F5C9C">
        <w:t xml:space="preserve"> to 2032, driven by increasing clinical trial activities and heightened R&amp;D spending</w:t>
      </w:r>
      <w:r>
        <w:t>.</w:t>
      </w:r>
    </w:p>
    <w:p w14:paraId="6CA94176" w14:textId="6BBF07D4" w:rsidR="001F5C9C" w:rsidRPr="001F5C9C" w:rsidRDefault="001F5C9C" w:rsidP="001F5C9C">
      <w:pPr>
        <w:numPr>
          <w:ilvl w:val="0"/>
          <w:numId w:val="1"/>
        </w:numPr>
      </w:pPr>
      <w:r w:rsidRPr="001F5C9C">
        <w:rPr>
          <w:b/>
          <w:bCs/>
        </w:rPr>
        <w:t>Rising Outsourcing Trends:</w:t>
      </w:r>
      <w:r w:rsidRPr="001F5C9C">
        <w:t xml:space="preserve"> Pharma and biotech firms are increasingly relying on CROs to manage complex clinical trial phases, reduce operational costs, and accelerate development timelines. Nearly 75% of trials are now outsourced.</w:t>
      </w:r>
    </w:p>
    <w:p w14:paraId="3441306C" w14:textId="561CA56F" w:rsidR="001F5C9C" w:rsidRPr="001F5C9C" w:rsidRDefault="001F5C9C" w:rsidP="001F5C9C">
      <w:pPr>
        <w:numPr>
          <w:ilvl w:val="0"/>
          <w:numId w:val="1"/>
        </w:numPr>
      </w:pPr>
      <w:r w:rsidRPr="001F5C9C">
        <w:rPr>
          <w:b/>
          <w:bCs/>
        </w:rPr>
        <w:t>Oncology Leads Therapeutics:</w:t>
      </w:r>
      <w:r w:rsidRPr="001F5C9C">
        <w:t xml:space="preserve"> Oncology accounts for over half the market share in 2023 (54.6%), fueled by rising cancer incidence and increased drug approvals.</w:t>
      </w:r>
    </w:p>
    <w:p w14:paraId="3A37AF18" w14:textId="68E4586C" w:rsidR="001F5C9C" w:rsidRPr="001F5C9C" w:rsidRDefault="001F5C9C" w:rsidP="001F5C9C">
      <w:pPr>
        <w:numPr>
          <w:ilvl w:val="0"/>
          <w:numId w:val="1"/>
        </w:numPr>
      </w:pPr>
      <w:r w:rsidRPr="001F5C9C">
        <w:rPr>
          <w:b/>
          <w:bCs/>
        </w:rPr>
        <w:t>Service Segmentation:</w:t>
      </w:r>
      <w:r w:rsidRPr="001F5C9C">
        <w:t xml:space="preserve"> Clinical research services dominate, with early-phase development, laboratory testing, and regulatory consulting also growing rapidly.</w:t>
      </w:r>
    </w:p>
    <w:p w14:paraId="56F2DA5D" w14:textId="77777777" w:rsidR="001F5C9C" w:rsidRPr="001F5C9C" w:rsidRDefault="001F5C9C" w:rsidP="001F5C9C">
      <w:pPr>
        <w:rPr>
          <w:b/>
          <w:bCs/>
        </w:rPr>
      </w:pPr>
      <w:r w:rsidRPr="001F5C9C">
        <w:rPr>
          <w:b/>
          <w:bCs/>
        </w:rPr>
        <w:t>Contract Research Organization Market Segments Analysis</w:t>
      </w:r>
    </w:p>
    <w:p w14:paraId="5CE66067" w14:textId="77777777" w:rsidR="001F5C9C" w:rsidRDefault="001F5C9C" w:rsidP="001F5C9C">
      <w:r w:rsidRPr="001F5C9C">
        <w:t xml:space="preserve">Global Contract Research Organization Market is segmented by Type, Therapeutic Area, End-User and region. </w:t>
      </w:r>
    </w:p>
    <w:p w14:paraId="0F0E984D" w14:textId="77777777" w:rsidR="001F5C9C" w:rsidRDefault="001F5C9C" w:rsidP="001F5C9C">
      <w:pPr>
        <w:pStyle w:val="ListParagraph"/>
        <w:numPr>
          <w:ilvl w:val="0"/>
          <w:numId w:val="5"/>
        </w:numPr>
      </w:pPr>
      <w:r w:rsidRPr="001F5C9C">
        <w:t xml:space="preserve">Based on Type, the market is segmented into Drug Discovery, Pre-Clinical, Clinical and Others. </w:t>
      </w:r>
    </w:p>
    <w:p w14:paraId="0AD5E367" w14:textId="77777777" w:rsidR="001F5C9C" w:rsidRDefault="001F5C9C" w:rsidP="001F5C9C">
      <w:pPr>
        <w:pStyle w:val="ListParagraph"/>
        <w:numPr>
          <w:ilvl w:val="0"/>
          <w:numId w:val="5"/>
        </w:numPr>
      </w:pPr>
      <w:r w:rsidRPr="001F5C9C">
        <w:t xml:space="preserve">Based on Therapeutic Area, the market is segmented into Oncology, Cardiology, Infectious Disease, Neurology, Immunological Disorders, Gastroenterology and Hepatology and Others. </w:t>
      </w:r>
    </w:p>
    <w:p w14:paraId="6B389DFF" w14:textId="77777777" w:rsidR="001F5C9C" w:rsidRDefault="001F5C9C" w:rsidP="001F5C9C">
      <w:pPr>
        <w:pStyle w:val="ListParagraph"/>
        <w:numPr>
          <w:ilvl w:val="0"/>
          <w:numId w:val="5"/>
        </w:numPr>
      </w:pPr>
      <w:r w:rsidRPr="001F5C9C">
        <w:t xml:space="preserve">Based on End-User, the market is segmented into Pharmaceutical and Biotechnological Companies, Medical Device Companies and Others. </w:t>
      </w:r>
    </w:p>
    <w:p w14:paraId="0C4BA287" w14:textId="4A81A8E1" w:rsidR="001F5C9C" w:rsidRPr="001F5C9C" w:rsidRDefault="001F5C9C" w:rsidP="001F5C9C">
      <w:pPr>
        <w:pStyle w:val="ListParagraph"/>
        <w:numPr>
          <w:ilvl w:val="0"/>
          <w:numId w:val="5"/>
        </w:numPr>
      </w:pPr>
      <w:r w:rsidRPr="001F5C9C">
        <w:lastRenderedPageBreak/>
        <w:t>Based on region, the market is segmented into North America, Europe, Asia Pacific, Latin America and Middle East &amp; Africa.</w:t>
      </w:r>
    </w:p>
    <w:p w14:paraId="054500EB" w14:textId="410F8AC6" w:rsidR="001F5C9C" w:rsidRPr="001F5C9C" w:rsidRDefault="001F5C9C" w:rsidP="001F5C9C">
      <w:pPr>
        <w:rPr>
          <w:b/>
          <w:bCs/>
        </w:rPr>
      </w:pPr>
      <w:r w:rsidRPr="001F5C9C">
        <w:rPr>
          <w:b/>
          <w:bCs/>
        </w:rPr>
        <w:t>Regional Insights</w:t>
      </w:r>
    </w:p>
    <w:p w14:paraId="4340D8A4" w14:textId="7EB9A879" w:rsidR="001F5C9C" w:rsidRPr="001F5C9C" w:rsidRDefault="001F5C9C" w:rsidP="001F5C9C">
      <w:pPr>
        <w:numPr>
          <w:ilvl w:val="0"/>
          <w:numId w:val="2"/>
        </w:numPr>
      </w:pPr>
      <w:r w:rsidRPr="001F5C9C">
        <w:rPr>
          <w:b/>
          <w:bCs/>
        </w:rPr>
        <w:t>North America:</w:t>
      </w:r>
      <w:r w:rsidRPr="001F5C9C">
        <w:t xml:space="preserve"> The largest regional market—valued at approximately USD 22.6 billion in 2023—with strong presence of pharmaceutical players and stringent regulatory compliance needs.</w:t>
      </w:r>
    </w:p>
    <w:p w14:paraId="29C3D7EF" w14:textId="4DDE1BAD" w:rsidR="001F5C9C" w:rsidRPr="001F5C9C" w:rsidRDefault="001F5C9C" w:rsidP="001F5C9C">
      <w:pPr>
        <w:numPr>
          <w:ilvl w:val="0"/>
          <w:numId w:val="2"/>
        </w:numPr>
      </w:pPr>
      <w:r w:rsidRPr="001F5C9C">
        <w:rPr>
          <w:b/>
          <w:bCs/>
        </w:rPr>
        <w:t>Europe:</w:t>
      </w:r>
      <w:r w:rsidRPr="001F5C9C">
        <w:t xml:space="preserve"> Projected to reach USD 39.5 billion by 2032, supported by heightened R&amp;D investment and growing disease burden.</w:t>
      </w:r>
    </w:p>
    <w:p w14:paraId="593FA2D2" w14:textId="7E8ABF93" w:rsidR="001F5C9C" w:rsidRPr="001F5C9C" w:rsidRDefault="001F5C9C" w:rsidP="001F5C9C">
      <w:pPr>
        <w:numPr>
          <w:ilvl w:val="0"/>
          <w:numId w:val="2"/>
        </w:numPr>
      </w:pPr>
      <w:r w:rsidRPr="001F5C9C">
        <w:rPr>
          <w:b/>
          <w:bCs/>
        </w:rPr>
        <w:t>Asia Pacific:</w:t>
      </w:r>
      <w:r w:rsidRPr="001F5C9C">
        <w:t xml:space="preserve"> Set for rapid growth (CAGR ~8.6%) due to cost-effective clinical operations, large patient populations, and favorable regulations.</w:t>
      </w:r>
    </w:p>
    <w:p w14:paraId="7BC4EA30" w14:textId="2BE46057" w:rsidR="001F5C9C" w:rsidRPr="001F5C9C" w:rsidRDefault="001F5C9C" w:rsidP="001F5C9C">
      <w:pPr>
        <w:numPr>
          <w:ilvl w:val="0"/>
          <w:numId w:val="2"/>
        </w:numPr>
      </w:pPr>
      <w:r w:rsidRPr="001F5C9C">
        <w:rPr>
          <w:b/>
          <w:bCs/>
        </w:rPr>
        <w:t>Emerging Markets:</w:t>
      </w:r>
      <w:r w:rsidRPr="001F5C9C">
        <w:t xml:space="preserve"> Latin America and MENA regions are gaining momentum, thanks to improved regulations and competitive operational costs.</w:t>
      </w:r>
    </w:p>
    <w:p w14:paraId="7DCD9FFB" w14:textId="76D7C65B" w:rsidR="001F5C9C" w:rsidRDefault="001F5C9C" w:rsidP="001F5C9C">
      <w:pPr>
        <w:rPr>
          <w:b/>
          <w:bCs/>
        </w:rPr>
      </w:pPr>
      <w:r w:rsidRPr="001F5C9C">
        <w:rPr>
          <w:b/>
          <w:bCs/>
        </w:rPr>
        <w:t>Want to customize this report?</w:t>
      </w:r>
      <w:r>
        <w:rPr>
          <w:b/>
          <w:bCs/>
        </w:rPr>
        <w:t xml:space="preserve"> </w:t>
      </w:r>
      <w:hyperlink r:id="rId6" w:history="1">
        <w:r w:rsidRPr="00AB47DB">
          <w:rPr>
            <w:rStyle w:val="Hyperlink"/>
            <w:b/>
            <w:bCs/>
          </w:rPr>
          <w:t>https://www.skyquestt.com/speak-with-analyst/contract-research-organization-market</w:t>
        </w:r>
      </w:hyperlink>
      <w:r>
        <w:rPr>
          <w:b/>
          <w:bCs/>
        </w:rPr>
        <w:t xml:space="preserve"> </w:t>
      </w:r>
    </w:p>
    <w:p w14:paraId="1024D601" w14:textId="050DCF12" w:rsidR="001F5C9C" w:rsidRPr="001F5C9C" w:rsidRDefault="001F5C9C" w:rsidP="001F5C9C">
      <w:pPr>
        <w:rPr>
          <w:b/>
          <w:bCs/>
        </w:rPr>
      </w:pPr>
      <w:r w:rsidRPr="001F5C9C">
        <w:rPr>
          <w:b/>
          <w:bCs/>
        </w:rPr>
        <w:t>Top Player's Company Profiles</w:t>
      </w:r>
    </w:p>
    <w:p w14:paraId="70329C2F" w14:textId="77777777" w:rsidR="001F5C9C" w:rsidRPr="001F5C9C" w:rsidRDefault="001F5C9C" w:rsidP="001F5C9C">
      <w:pPr>
        <w:pStyle w:val="ListParagraph"/>
        <w:numPr>
          <w:ilvl w:val="0"/>
          <w:numId w:val="7"/>
        </w:numPr>
      </w:pPr>
      <w:r w:rsidRPr="001F5C9C">
        <w:t>IQVIA (USA)</w:t>
      </w:r>
    </w:p>
    <w:p w14:paraId="609E9D46" w14:textId="77777777" w:rsidR="001F5C9C" w:rsidRPr="001F5C9C" w:rsidRDefault="001F5C9C" w:rsidP="001F5C9C">
      <w:pPr>
        <w:pStyle w:val="ListParagraph"/>
        <w:numPr>
          <w:ilvl w:val="0"/>
          <w:numId w:val="7"/>
        </w:numPr>
      </w:pPr>
      <w:r w:rsidRPr="001F5C9C">
        <w:t>ICON plc (Ireland) </w:t>
      </w:r>
    </w:p>
    <w:p w14:paraId="40047D57" w14:textId="77777777" w:rsidR="001F5C9C" w:rsidRPr="001F5C9C" w:rsidRDefault="001F5C9C" w:rsidP="001F5C9C">
      <w:pPr>
        <w:pStyle w:val="ListParagraph"/>
        <w:numPr>
          <w:ilvl w:val="0"/>
          <w:numId w:val="7"/>
        </w:numPr>
      </w:pPr>
      <w:r w:rsidRPr="001F5C9C">
        <w:t>Charles River Laboratories (USA) </w:t>
      </w:r>
    </w:p>
    <w:p w14:paraId="07495690" w14:textId="77777777" w:rsidR="001F5C9C" w:rsidRPr="001F5C9C" w:rsidRDefault="001F5C9C" w:rsidP="001F5C9C">
      <w:pPr>
        <w:pStyle w:val="ListParagraph"/>
        <w:numPr>
          <w:ilvl w:val="0"/>
          <w:numId w:val="7"/>
        </w:numPr>
      </w:pPr>
      <w:proofErr w:type="spellStart"/>
      <w:r w:rsidRPr="001F5C9C">
        <w:t>Medpace</w:t>
      </w:r>
      <w:proofErr w:type="spellEnd"/>
      <w:r w:rsidRPr="001F5C9C">
        <w:t xml:space="preserve"> (USA) </w:t>
      </w:r>
    </w:p>
    <w:p w14:paraId="238A91A1" w14:textId="77777777" w:rsidR="001F5C9C" w:rsidRPr="001F5C9C" w:rsidRDefault="001F5C9C" w:rsidP="001F5C9C">
      <w:pPr>
        <w:pStyle w:val="ListParagraph"/>
        <w:numPr>
          <w:ilvl w:val="0"/>
          <w:numId w:val="7"/>
        </w:numPr>
      </w:pPr>
      <w:proofErr w:type="spellStart"/>
      <w:r w:rsidRPr="001F5C9C">
        <w:t>Fortrea</w:t>
      </w:r>
      <w:proofErr w:type="spellEnd"/>
      <w:r w:rsidRPr="001F5C9C">
        <w:t xml:space="preserve"> (USA) </w:t>
      </w:r>
    </w:p>
    <w:p w14:paraId="160193A0" w14:textId="77777777" w:rsidR="001F5C9C" w:rsidRPr="001F5C9C" w:rsidRDefault="001F5C9C" w:rsidP="001F5C9C">
      <w:pPr>
        <w:pStyle w:val="ListParagraph"/>
        <w:numPr>
          <w:ilvl w:val="0"/>
          <w:numId w:val="7"/>
        </w:numPr>
      </w:pPr>
      <w:r w:rsidRPr="001F5C9C">
        <w:t>Parexel (USA) </w:t>
      </w:r>
    </w:p>
    <w:p w14:paraId="55891533" w14:textId="77777777" w:rsidR="001F5C9C" w:rsidRPr="001F5C9C" w:rsidRDefault="001F5C9C" w:rsidP="001F5C9C">
      <w:pPr>
        <w:pStyle w:val="ListParagraph"/>
        <w:numPr>
          <w:ilvl w:val="0"/>
          <w:numId w:val="7"/>
        </w:numPr>
      </w:pPr>
      <w:proofErr w:type="spellStart"/>
      <w:r w:rsidRPr="001F5C9C">
        <w:t>Syneos</w:t>
      </w:r>
      <w:proofErr w:type="spellEnd"/>
      <w:r w:rsidRPr="001F5C9C">
        <w:t xml:space="preserve"> Health (USA) </w:t>
      </w:r>
    </w:p>
    <w:p w14:paraId="06FF2896" w14:textId="77777777" w:rsidR="001F5C9C" w:rsidRPr="001F5C9C" w:rsidRDefault="001F5C9C" w:rsidP="001F5C9C">
      <w:pPr>
        <w:pStyle w:val="ListParagraph"/>
        <w:numPr>
          <w:ilvl w:val="0"/>
          <w:numId w:val="7"/>
        </w:numPr>
      </w:pPr>
      <w:proofErr w:type="spellStart"/>
      <w:r w:rsidRPr="001F5C9C">
        <w:t>Thermo</w:t>
      </w:r>
      <w:proofErr w:type="spellEnd"/>
      <w:r w:rsidRPr="001F5C9C">
        <w:t xml:space="preserve"> Fisher Scientific (USA) </w:t>
      </w:r>
    </w:p>
    <w:p w14:paraId="05C4BAEB" w14:textId="77777777" w:rsidR="001F5C9C" w:rsidRPr="001F5C9C" w:rsidRDefault="001F5C9C" w:rsidP="001F5C9C">
      <w:pPr>
        <w:pStyle w:val="ListParagraph"/>
        <w:numPr>
          <w:ilvl w:val="0"/>
          <w:numId w:val="7"/>
        </w:numPr>
      </w:pPr>
      <w:r w:rsidRPr="001F5C9C">
        <w:t>PPD Inc. (USA) </w:t>
      </w:r>
    </w:p>
    <w:p w14:paraId="6743743A" w14:textId="77777777" w:rsidR="001F5C9C" w:rsidRPr="001F5C9C" w:rsidRDefault="001F5C9C" w:rsidP="001F5C9C">
      <w:pPr>
        <w:pStyle w:val="ListParagraph"/>
        <w:numPr>
          <w:ilvl w:val="0"/>
          <w:numId w:val="7"/>
        </w:numPr>
      </w:pPr>
      <w:proofErr w:type="spellStart"/>
      <w:r w:rsidRPr="001F5C9C">
        <w:t>Labcorp</w:t>
      </w:r>
      <w:proofErr w:type="spellEnd"/>
      <w:r w:rsidRPr="001F5C9C">
        <w:t xml:space="preserve"> Drug Development (USA) </w:t>
      </w:r>
    </w:p>
    <w:p w14:paraId="21CED161" w14:textId="77777777" w:rsidR="001F5C9C" w:rsidRPr="001F5C9C" w:rsidRDefault="001F5C9C" w:rsidP="001F5C9C">
      <w:pPr>
        <w:pStyle w:val="ListParagraph"/>
        <w:numPr>
          <w:ilvl w:val="0"/>
          <w:numId w:val="7"/>
        </w:numPr>
      </w:pPr>
      <w:r w:rsidRPr="001F5C9C">
        <w:t>Eurofins Scientific (France) </w:t>
      </w:r>
    </w:p>
    <w:p w14:paraId="164336D4" w14:textId="77777777" w:rsidR="001F5C9C" w:rsidRPr="001F5C9C" w:rsidRDefault="001F5C9C" w:rsidP="001F5C9C">
      <w:pPr>
        <w:pStyle w:val="ListParagraph"/>
        <w:numPr>
          <w:ilvl w:val="0"/>
          <w:numId w:val="7"/>
        </w:numPr>
      </w:pPr>
      <w:r w:rsidRPr="001F5C9C">
        <w:t>SGS SA (Switzerland) </w:t>
      </w:r>
    </w:p>
    <w:p w14:paraId="2B9B2C86" w14:textId="77777777" w:rsidR="001F5C9C" w:rsidRPr="001F5C9C" w:rsidRDefault="001F5C9C" w:rsidP="001F5C9C">
      <w:pPr>
        <w:pStyle w:val="ListParagraph"/>
        <w:numPr>
          <w:ilvl w:val="0"/>
          <w:numId w:val="7"/>
        </w:numPr>
      </w:pPr>
      <w:r w:rsidRPr="001F5C9C">
        <w:t>PSI CRO AG (Switzerland) </w:t>
      </w:r>
    </w:p>
    <w:p w14:paraId="7B07CB6C" w14:textId="77777777" w:rsidR="001F5C9C" w:rsidRPr="001F5C9C" w:rsidRDefault="001F5C9C" w:rsidP="001F5C9C">
      <w:pPr>
        <w:pStyle w:val="ListParagraph"/>
        <w:numPr>
          <w:ilvl w:val="0"/>
          <w:numId w:val="7"/>
        </w:numPr>
      </w:pPr>
      <w:proofErr w:type="spellStart"/>
      <w:r w:rsidRPr="001F5C9C">
        <w:t>Novotech</w:t>
      </w:r>
      <w:proofErr w:type="spellEnd"/>
      <w:r w:rsidRPr="001F5C9C">
        <w:t xml:space="preserve"> (Australia) </w:t>
      </w:r>
    </w:p>
    <w:p w14:paraId="7513D7A8" w14:textId="77777777" w:rsidR="001F5C9C" w:rsidRPr="001F5C9C" w:rsidRDefault="001F5C9C" w:rsidP="001F5C9C">
      <w:pPr>
        <w:pStyle w:val="ListParagraph"/>
        <w:numPr>
          <w:ilvl w:val="0"/>
          <w:numId w:val="7"/>
        </w:numPr>
      </w:pPr>
      <w:r w:rsidRPr="001F5C9C">
        <w:t>KCR S.A. (Poland) </w:t>
      </w:r>
    </w:p>
    <w:p w14:paraId="154537C1" w14:textId="77777777" w:rsidR="001F5C9C" w:rsidRPr="001F5C9C" w:rsidRDefault="001F5C9C" w:rsidP="001F5C9C">
      <w:pPr>
        <w:pStyle w:val="ListParagraph"/>
        <w:numPr>
          <w:ilvl w:val="0"/>
          <w:numId w:val="7"/>
        </w:numPr>
      </w:pPr>
      <w:proofErr w:type="spellStart"/>
      <w:r w:rsidRPr="001F5C9C">
        <w:t>Linical</w:t>
      </w:r>
      <w:proofErr w:type="spellEnd"/>
      <w:r w:rsidRPr="001F5C9C">
        <w:t xml:space="preserve"> Co., Ltd. (Japan) </w:t>
      </w:r>
    </w:p>
    <w:p w14:paraId="1B7893FF" w14:textId="77777777" w:rsidR="001F5C9C" w:rsidRPr="001F5C9C" w:rsidRDefault="001F5C9C" w:rsidP="001F5C9C">
      <w:pPr>
        <w:pStyle w:val="ListParagraph"/>
        <w:numPr>
          <w:ilvl w:val="0"/>
          <w:numId w:val="7"/>
        </w:numPr>
      </w:pPr>
      <w:proofErr w:type="spellStart"/>
      <w:r w:rsidRPr="001F5C9C">
        <w:t>Pharmaron</w:t>
      </w:r>
      <w:proofErr w:type="spellEnd"/>
      <w:r w:rsidRPr="001F5C9C">
        <w:t xml:space="preserve"> (China) </w:t>
      </w:r>
    </w:p>
    <w:p w14:paraId="7BD26FE8" w14:textId="77777777" w:rsidR="001F5C9C" w:rsidRPr="001F5C9C" w:rsidRDefault="001F5C9C" w:rsidP="001F5C9C">
      <w:pPr>
        <w:pStyle w:val="ListParagraph"/>
        <w:numPr>
          <w:ilvl w:val="0"/>
          <w:numId w:val="7"/>
        </w:numPr>
      </w:pPr>
      <w:proofErr w:type="spellStart"/>
      <w:r w:rsidRPr="001F5C9C">
        <w:t>WuXi</w:t>
      </w:r>
      <w:proofErr w:type="spellEnd"/>
      <w:r w:rsidRPr="001F5C9C">
        <w:t xml:space="preserve"> </w:t>
      </w:r>
      <w:proofErr w:type="spellStart"/>
      <w:r w:rsidRPr="001F5C9C">
        <w:t>AppTec</w:t>
      </w:r>
      <w:proofErr w:type="spellEnd"/>
      <w:r w:rsidRPr="001F5C9C">
        <w:t xml:space="preserve"> (China) </w:t>
      </w:r>
    </w:p>
    <w:p w14:paraId="531C020E" w14:textId="77777777" w:rsidR="001F5C9C" w:rsidRPr="001F5C9C" w:rsidRDefault="001F5C9C" w:rsidP="001F5C9C">
      <w:pPr>
        <w:pStyle w:val="ListParagraph"/>
        <w:numPr>
          <w:ilvl w:val="0"/>
          <w:numId w:val="7"/>
        </w:numPr>
      </w:pPr>
      <w:proofErr w:type="spellStart"/>
      <w:r w:rsidRPr="001F5C9C">
        <w:lastRenderedPageBreak/>
        <w:t>WuXi</w:t>
      </w:r>
      <w:proofErr w:type="spellEnd"/>
      <w:r w:rsidRPr="001F5C9C">
        <w:t xml:space="preserve"> Biologics (China) </w:t>
      </w:r>
    </w:p>
    <w:p w14:paraId="324DCDB4" w14:textId="4A448158" w:rsidR="001F5C9C" w:rsidRPr="001F5C9C" w:rsidRDefault="001F5C9C" w:rsidP="001F5C9C">
      <w:pPr>
        <w:pStyle w:val="ListParagraph"/>
        <w:numPr>
          <w:ilvl w:val="0"/>
          <w:numId w:val="7"/>
        </w:numPr>
      </w:pPr>
      <w:proofErr w:type="spellStart"/>
      <w:r w:rsidRPr="001F5C9C">
        <w:t>Tigermed</w:t>
      </w:r>
      <w:proofErr w:type="spellEnd"/>
      <w:r w:rsidRPr="001F5C9C">
        <w:t xml:space="preserve"> (China)</w:t>
      </w:r>
    </w:p>
    <w:p w14:paraId="4C5939A2" w14:textId="76122CCE" w:rsidR="001F5C9C" w:rsidRPr="001F5C9C" w:rsidRDefault="001F5C9C" w:rsidP="001F5C9C">
      <w:pPr>
        <w:rPr>
          <w:b/>
          <w:bCs/>
        </w:rPr>
      </w:pPr>
      <w:r w:rsidRPr="001F5C9C">
        <w:rPr>
          <w:b/>
          <w:bCs/>
        </w:rPr>
        <w:t>Key Growth Drivers</w:t>
      </w:r>
    </w:p>
    <w:p w14:paraId="1604E1FB" w14:textId="001ED2EA" w:rsidR="001F5C9C" w:rsidRPr="001F5C9C" w:rsidRDefault="001F5C9C" w:rsidP="001F5C9C">
      <w:pPr>
        <w:numPr>
          <w:ilvl w:val="0"/>
          <w:numId w:val="3"/>
        </w:numPr>
      </w:pPr>
      <w:r w:rsidRPr="001F5C9C">
        <w:rPr>
          <w:b/>
          <w:bCs/>
        </w:rPr>
        <w:t>R&amp;D Investments:</w:t>
      </w:r>
      <w:r w:rsidRPr="001F5C9C">
        <w:t xml:space="preserve"> Global pharmaceutical R&amp;D spend exceeds USD 300 billion annually, fueling demand for outsourced services.</w:t>
      </w:r>
    </w:p>
    <w:p w14:paraId="545E23C3" w14:textId="3D853BCD" w:rsidR="001F5C9C" w:rsidRPr="001F5C9C" w:rsidRDefault="001F5C9C" w:rsidP="001F5C9C">
      <w:pPr>
        <w:numPr>
          <w:ilvl w:val="0"/>
          <w:numId w:val="3"/>
        </w:numPr>
      </w:pPr>
      <w:r w:rsidRPr="001F5C9C">
        <w:rPr>
          <w:b/>
          <w:bCs/>
        </w:rPr>
        <w:t>Clinical Trial Complexity &amp; Volume:</w:t>
      </w:r>
      <w:r w:rsidRPr="001F5C9C">
        <w:t xml:space="preserve"> Increase in chronic disease burden and personalized medicine necessitates sophisticated, multi-regional trials. CROs manage ~70,000 new trials across Asia-Pacific, U.S., and EU5 between 2017–2021.</w:t>
      </w:r>
    </w:p>
    <w:p w14:paraId="14FE1150" w14:textId="5271033B" w:rsidR="001F5C9C" w:rsidRPr="001F5C9C" w:rsidRDefault="001F5C9C" w:rsidP="001F5C9C">
      <w:pPr>
        <w:numPr>
          <w:ilvl w:val="0"/>
          <w:numId w:val="3"/>
        </w:numPr>
      </w:pPr>
      <w:r w:rsidRPr="001F5C9C">
        <w:rPr>
          <w:b/>
          <w:bCs/>
        </w:rPr>
        <w:t>Technological Advancements:</w:t>
      </w:r>
      <w:r w:rsidRPr="001F5C9C">
        <w:t xml:space="preserve"> Innovations such as decentralized trials, digital data capture, and AI-driven monitoring are expanding CRO service scope.</w:t>
      </w:r>
    </w:p>
    <w:p w14:paraId="37C45388" w14:textId="75368941" w:rsidR="001F5C9C" w:rsidRDefault="001F5C9C" w:rsidP="001F5C9C">
      <w:pPr>
        <w:rPr>
          <w:b/>
          <w:bCs/>
        </w:rPr>
      </w:pPr>
      <w:r>
        <w:rPr>
          <w:b/>
          <w:bCs/>
        </w:rPr>
        <w:t xml:space="preserve">Buy full report for detailed information: </w:t>
      </w:r>
      <w:hyperlink r:id="rId7" w:history="1">
        <w:r w:rsidRPr="00AB47DB">
          <w:rPr>
            <w:rStyle w:val="Hyperlink"/>
            <w:b/>
            <w:bCs/>
          </w:rPr>
          <w:t>https://www.skyquestt.com/buy-now/contract-research-organization-market</w:t>
        </w:r>
      </w:hyperlink>
      <w:r>
        <w:rPr>
          <w:b/>
          <w:bCs/>
        </w:rPr>
        <w:t xml:space="preserve"> </w:t>
      </w:r>
    </w:p>
    <w:p w14:paraId="2DBE17F5" w14:textId="0A609F1A" w:rsidR="001F5C9C" w:rsidRPr="001F5C9C" w:rsidRDefault="001F5C9C" w:rsidP="001F5C9C">
      <w:pPr>
        <w:rPr>
          <w:b/>
          <w:bCs/>
        </w:rPr>
      </w:pPr>
      <w:r w:rsidRPr="001F5C9C">
        <w:rPr>
          <w:b/>
          <w:bCs/>
        </w:rPr>
        <w:t>Recent Developments in Contract Research Organization Market</w:t>
      </w:r>
    </w:p>
    <w:p w14:paraId="70A9DA4F" w14:textId="77777777" w:rsidR="001F5C9C" w:rsidRPr="001F5C9C" w:rsidRDefault="001F5C9C" w:rsidP="001F5C9C">
      <w:pPr>
        <w:numPr>
          <w:ilvl w:val="0"/>
          <w:numId w:val="8"/>
        </w:numPr>
      </w:pPr>
      <w:r w:rsidRPr="001F5C9C">
        <w:t>IQVIA, a leading name in the global contract research organization landscape announced the launch of a new technology to enhance business operations in July 2024. One Home for Sites™ provides a centralized dashboard for systems at all clinical trial sites to improve efficiency.</w:t>
      </w:r>
    </w:p>
    <w:p w14:paraId="3F28ED67" w14:textId="77777777" w:rsidR="001F5C9C" w:rsidRPr="001F5C9C" w:rsidRDefault="001F5C9C" w:rsidP="001F5C9C">
      <w:pPr>
        <w:numPr>
          <w:ilvl w:val="0"/>
          <w:numId w:val="8"/>
        </w:numPr>
      </w:pPr>
      <w:r w:rsidRPr="001F5C9C">
        <w:t>A new contract research organization solution for ophthalmology clinical trials was launched by Lindus Health in September 2024. The new solution can handle vast amounts of data generated from clinical trials to enhance the operation of contract research organizations compared to the traditional approach.</w:t>
      </w:r>
    </w:p>
    <w:p w14:paraId="241B22BD" w14:textId="72ECA573" w:rsidR="001F5C9C" w:rsidRPr="001F5C9C" w:rsidRDefault="001F5C9C" w:rsidP="001F5C9C">
      <w:pPr>
        <w:numPr>
          <w:ilvl w:val="0"/>
          <w:numId w:val="8"/>
        </w:numPr>
      </w:pPr>
      <w:r w:rsidRPr="001F5C9C">
        <w:t>Heeds, a European contract research organization was acquired in March 2024. Veeda Clinical Research Ltd., a leading CRO based in India was behind this acquisition as it focuses on expanding its business scope and operations to new regions.</w:t>
      </w:r>
    </w:p>
    <w:p w14:paraId="71EAF3B7" w14:textId="1E0E4288" w:rsidR="001F5C9C" w:rsidRPr="001F5C9C" w:rsidRDefault="001F5C9C" w:rsidP="001F5C9C">
      <w:pPr>
        <w:rPr>
          <w:b/>
          <w:bCs/>
        </w:rPr>
      </w:pPr>
      <w:r w:rsidRPr="001F5C9C">
        <w:rPr>
          <w:b/>
          <w:bCs/>
        </w:rPr>
        <w:t>Strategic Implications</w:t>
      </w:r>
    </w:p>
    <w:p w14:paraId="5D94A286" w14:textId="77777777" w:rsidR="001F5C9C" w:rsidRPr="001F5C9C" w:rsidRDefault="001F5C9C" w:rsidP="001F5C9C">
      <w:pPr>
        <w:numPr>
          <w:ilvl w:val="0"/>
          <w:numId w:val="4"/>
        </w:numPr>
      </w:pPr>
      <w:r w:rsidRPr="001F5C9C">
        <w:rPr>
          <w:b/>
          <w:bCs/>
        </w:rPr>
        <w:t>Pharma &amp; Biotech Companies</w:t>
      </w:r>
      <w:r w:rsidRPr="001F5C9C">
        <w:t xml:space="preserve"> should continue expanding CRO partnerships to optimize resources, accelerate drug development, and stay agile in a competitive market.</w:t>
      </w:r>
    </w:p>
    <w:p w14:paraId="2A2BD003" w14:textId="77777777" w:rsidR="001F5C9C" w:rsidRPr="001F5C9C" w:rsidRDefault="001F5C9C" w:rsidP="001F5C9C">
      <w:pPr>
        <w:numPr>
          <w:ilvl w:val="0"/>
          <w:numId w:val="4"/>
        </w:numPr>
      </w:pPr>
      <w:r w:rsidRPr="001F5C9C">
        <w:rPr>
          <w:b/>
          <w:bCs/>
        </w:rPr>
        <w:t>CRO Providers</w:t>
      </w:r>
      <w:r w:rsidRPr="001F5C9C">
        <w:t xml:space="preserve"> must diversify service portfolios with advanced digital platforms, precision medicine expertise, and regulatory support to meet evolving client demands.</w:t>
      </w:r>
    </w:p>
    <w:p w14:paraId="4034EE26" w14:textId="58403E79" w:rsidR="001F5C9C" w:rsidRDefault="001F5C9C" w:rsidP="001F5C9C">
      <w:pPr>
        <w:numPr>
          <w:ilvl w:val="0"/>
          <w:numId w:val="4"/>
        </w:numPr>
      </w:pPr>
      <w:r w:rsidRPr="001F5C9C">
        <w:rPr>
          <w:b/>
          <w:bCs/>
        </w:rPr>
        <w:t>Regulators &amp; Policymakers</w:t>
      </w:r>
      <w:r w:rsidRPr="001F5C9C">
        <w:t xml:space="preserve"> are encouraged to harmonize guidelines across regions and support infrastructure—particularly in emerging markets—to enable faster, quality-enabled trials.</w:t>
      </w:r>
    </w:p>
    <w:p w14:paraId="0B8022C8" w14:textId="19279AA3" w:rsidR="001F5C9C" w:rsidRDefault="001F5C9C" w:rsidP="001F5C9C">
      <w:r>
        <w:lastRenderedPageBreak/>
        <w:t xml:space="preserve">Access to full report: </w:t>
      </w:r>
      <w:hyperlink r:id="rId8" w:history="1">
        <w:r w:rsidRPr="00AB47DB">
          <w:rPr>
            <w:rStyle w:val="Hyperlink"/>
          </w:rPr>
          <w:t>https://www.skyquestt.com/report/contract-research-organization-market</w:t>
        </w:r>
      </w:hyperlink>
      <w:r>
        <w:t xml:space="preserve"> </w:t>
      </w:r>
    </w:p>
    <w:sectPr w:rsidR="001F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A2"/>
    <w:multiLevelType w:val="multilevel"/>
    <w:tmpl w:val="B7D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1554"/>
    <w:multiLevelType w:val="multilevel"/>
    <w:tmpl w:val="FADC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42A03"/>
    <w:multiLevelType w:val="hybridMultilevel"/>
    <w:tmpl w:val="CDD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14158"/>
    <w:multiLevelType w:val="multilevel"/>
    <w:tmpl w:val="363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70B09"/>
    <w:multiLevelType w:val="multilevel"/>
    <w:tmpl w:val="F184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C7726"/>
    <w:multiLevelType w:val="multilevel"/>
    <w:tmpl w:val="91F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D7907"/>
    <w:multiLevelType w:val="hybridMultilevel"/>
    <w:tmpl w:val="CB14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AA7A73"/>
    <w:multiLevelType w:val="multilevel"/>
    <w:tmpl w:val="B874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821407">
    <w:abstractNumId w:val="5"/>
  </w:num>
  <w:num w:numId="2" w16cid:durableId="397441230">
    <w:abstractNumId w:val="7"/>
  </w:num>
  <w:num w:numId="3" w16cid:durableId="1054235632">
    <w:abstractNumId w:val="3"/>
  </w:num>
  <w:num w:numId="4" w16cid:durableId="690373234">
    <w:abstractNumId w:val="4"/>
  </w:num>
  <w:num w:numId="5" w16cid:durableId="1338264018">
    <w:abstractNumId w:val="2"/>
  </w:num>
  <w:num w:numId="6" w16cid:durableId="521433072">
    <w:abstractNumId w:val="1"/>
  </w:num>
  <w:num w:numId="7" w16cid:durableId="1396781818">
    <w:abstractNumId w:val="6"/>
  </w:num>
  <w:num w:numId="8" w16cid:durableId="161732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C"/>
    <w:rsid w:val="001D01DB"/>
    <w:rsid w:val="001F5C9C"/>
    <w:rsid w:val="00274CDA"/>
    <w:rsid w:val="004D40C5"/>
    <w:rsid w:val="00B354D8"/>
    <w:rsid w:val="00BB68BD"/>
    <w:rsid w:val="00C15B33"/>
    <w:rsid w:val="00E60550"/>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F5C"/>
  <w15:chartTrackingRefBased/>
  <w15:docId w15:val="{47E93C09-15D5-429E-95E6-14FE5F86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C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C9C"/>
    <w:rPr>
      <w:rFonts w:eastAsiaTheme="majorEastAsia" w:cstheme="majorBidi"/>
      <w:color w:val="272727" w:themeColor="text1" w:themeTint="D8"/>
    </w:rPr>
  </w:style>
  <w:style w:type="paragraph" w:styleId="Title">
    <w:name w:val="Title"/>
    <w:basedOn w:val="Normal"/>
    <w:next w:val="Normal"/>
    <w:link w:val="TitleChar"/>
    <w:uiPriority w:val="10"/>
    <w:qFormat/>
    <w:rsid w:val="001F5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C9C"/>
    <w:pPr>
      <w:spacing w:before="160"/>
      <w:jc w:val="center"/>
    </w:pPr>
    <w:rPr>
      <w:i/>
      <w:iCs/>
      <w:color w:val="404040" w:themeColor="text1" w:themeTint="BF"/>
    </w:rPr>
  </w:style>
  <w:style w:type="character" w:customStyle="1" w:styleId="QuoteChar">
    <w:name w:val="Quote Char"/>
    <w:basedOn w:val="DefaultParagraphFont"/>
    <w:link w:val="Quote"/>
    <w:uiPriority w:val="29"/>
    <w:rsid w:val="001F5C9C"/>
    <w:rPr>
      <w:i/>
      <w:iCs/>
      <w:color w:val="404040" w:themeColor="text1" w:themeTint="BF"/>
    </w:rPr>
  </w:style>
  <w:style w:type="paragraph" w:styleId="ListParagraph">
    <w:name w:val="List Paragraph"/>
    <w:basedOn w:val="Normal"/>
    <w:uiPriority w:val="34"/>
    <w:qFormat/>
    <w:rsid w:val="001F5C9C"/>
    <w:pPr>
      <w:ind w:left="720"/>
      <w:contextualSpacing/>
    </w:pPr>
  </w:style>
  <w:style w:type="character" w:styleId="IntenseEmphasis">
    <w:name w:val="Intense Emphasis"/>
    <w:basedOn w:val="DefaultParagraphFont"/>
    <w:uiPriority w:val="21"/>
    <w:qFormat/>
    <w:rsid w:val="001F5C9C"/>
    <w:rPr>
      <w:i/>
      <w:iCs/>
      <w:color w:val="2F5496" w:themeColor="accent1" w:themeShade="BF"/>
    </w:rPr>
  </w:style>
  <w:style w:type="paragraph" w:styleId="IntenseQuote">
    <w:name w:val="Intense Quote"/>
    <w:basedOn w:val="Normal"/>
    <w:next w:val="Normal"/>
    <w:link w:val="IntenseQuoteChar"/>
    <w:uiPriority w:val="30"/>
    <w:qFormat/>
    <w:rsid w:val="001F5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C9C"/>
    <w:rPr>
      <w:i/>
      <w:iCs/>
      <w:color w:val="2F5496" w:themeColor="accent1" w:themeShade="BF"/>
    </w:rPr>
  </w:style>
  <w:style w:type="character" w:styleId="IntenseReference">
    <w:name w:val="Intense Reference"/>
    <w:basedOn w:val="DefaultParagraphFont"/>
    <w:uiPriority w:val="32"/>
    <w:qFormat/>
    <w:rsid w:val="001F5C9C"/>
    <w:rPr>
      <w:b/>
      <w:bCs/>
      <w:smallCaps/>
      <w:color w:val="2F5496" w:themeColor="accent1" w:themeShade="BF"/>
      <w:spacing w:val="5"/>
    </w:rPr>
  </w:style>
  <w:style w:type="character" w:styleId="Hyperlink">
    <w:name w:val="Hyperlink"/>
    <w:basedOn w:val="DefaultParagraphFont"/>
    <w:uiPriority w:val="99"/>
    <w:unhideWhenUsed/>
    <w:rsid w:val="001F5C9C"/>
    <w:rPr>
      <w:color w:val="0563C1" w:themeColor="hyperlink"/>
      <w:u w:val="single"/>
    </w:rPr>
  </w:style>
  <w:style w:type="character" w:styleId="UnresolvedMention">
    <w:name w:val="Unresolved Mention"/>
    <w:basedOn w:val="DefaultParagraphFont"/>
    <w:uiPriority w:val="99"/>
    <w:semiHidden/>
    <w:unhideWhenUsed/>
    <w:rsid w:val="001F5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204">
      <w:bodyDiv w:val="1"/>
      <w:marLeft w:val="0"/>
      <w:marRight w:val="0"/>
      <w:marTop w:val="0"/>
      <w:marBottom w:val="0"/>
      <w:divBdr>
        <w:top w:val="none" w:sz="0" w:space="0" w:color="auto"/>
        <w:left w:val="none" w:sz="0" w:space="0" w:color="auto"/>
        <w:bottom w:val="none" w:sz="0" w:space="0" w:color="auto"/>
        <w:right w:val="none" w:sz="0" w:space="0" w:color="auto"/>
      </w:divBdr>
    </w:div>
    <w:div w:id="367264632">
      <w:bodyDiv w:val="1"/>
      <w:marLeft w:val="0"/>
      <w:marRight w:val="0"/>
      <w:marTop w:val="0"/>
      <w:marBottom w:val="0"/>
      <w:divBdr>
        <w:top w:val="none" w:sz="0" w:space="0" w:color="auto"/>
        <w:left w:val="none" w:sz="0" w:space="0" w:color="auto"/>
        <w:bottom w:val="none" w:sz="0" w:space="0" w:color="auto"/>
        <w:right w:val="none" w:sz="0" w:space="0" w:color="auto"/>
      </w:divBdr>
    </w:div>
    <w:div w:id="501699380">
      <w:bodyDiv w:val="1"/>
      <w:marLeft w:val="0"/>
      <w:marRight w:val="0"/>
      <w:marTop w:val="0"/>
      <w:marBottom w:val="0"/>
      <w:divBdr>
        <w:top w:val="none" w:sz="0" w:space="0" w:color="auto"/>
        <w:left w:val="none" w:sz="0" w:space="0" w:color="auto"/>
        <w:bottom w:val="none" w:sz="0" w:space="0" w:color="auto"/>
        <w:right w:val="none" w:sz="0" w:space="0" w:color="auto"/>
      </w:divBdr>
    </w:div>
    <w:div w:id="505480260">
      <w:bodyDiv w:val="1"/>
      <w:marLeft w:val="0"/>
      <w:marRight w:val="0"/>
      <w:marTop w:val="0"/>
      <w:marBottom w:val="0"/>
      <w:divBdr>
        <w:top w:val="none" w:sz="0" w:space="0" w:color="auto"/>
        <w:left w:val="none" w:sz="0" w:space="0" w:color="auto"/>
        <w:bottom w:val="none" w:sz="0" w:space="0" w:color="auto"/>
        <w:right w:val="none" w:sz="0" w:space="0" w:color="auto"/>
      </w:divBdr>
      <w:divsChild>
        <w:div w:id="1262034366">
          <w:marLeft w:val="0"/>
          <w:marRight w:val="0"/>
          <w:marTop w:val="300"/>
          <w:marBottom w:val="300"/>
          <w:divBdr>
            <w:top w:val="none" w:sz="0" w:space="0" w:color="auto"/>
            <w:left w:val="none" w:sz="0" w:space="0" w:color="auto"/>
            <w:bottom w:val="none" w:sz="0" w:space="0" w:color="auto"/>
            <w:right w:val="none" w:sz="0" w:space="0" w:color="auto"/>
          </w:divBdr>
        </w:div>
        <w:div w:id="260724019">
          <w:marLeft w:val="0"/>
          <w:marRight w:val="0"/>
          <w:marTop w:val="0"/>
          <w:marBottom w:val="0"/>
          <w:divBdr>
            <w:top w:val="none" w:sz="0" w:space="0" w:color="auto"/>
            <w:left w:val="none" w:sz="0" w:space="0" w:color="auto"/>
            <w:bottom w:val="none" w:sz="0" w:space="0" w:color="auto"/>
            <w:right w:val="none" w:sz="0" w:space="0" w:color="auto"/>
          </w:divBdr>
        </w:div>
      </w:divsChild>
    </w:div>
    <w:div w:id="604654893">
      <w:bodyDiv w:val="1"/>
      <w:marLeft w:val="0"/>
      <w:marRight w:val="0"/>
      <w:marTop w:val="0"/>
      <w:marBottom w:val="0"/>
      <w:divBdr>
        <w:top w:val="none" w:sz="0" w:space="0" w:color="auto"/>
        <w:left w:val="none" w:sz="0" w:space="0" w:color="auto"/>
        <w:bottom w:val="none" w:sz="0" w:space="0" w:color="auto"/>
        <w:right w:val="none" w:sz="0" w:space="0" w:color="auto"/>
      </w:divBdr>
    </w:div>
    <w:div w:id="733940027">
      <w:bodyDiv w:val="1"/>
      <w:marLeft w:val="0"/>
      <w:marRight w:val="0"/>
      <w:marTop w:val="0"/>
      <w:marBottom w:val="0"/>
      <w:divBdr>
        <w:top w:val="none" w:sz="0" w:space="0" w:color="auto"/>
        <w:left w:val="none" w:sz="0" w:space="0" w:color="auto"/>
        <w:bottom w:val="none" w:sz="0" w:space="0" w:color="auto"/>
        <w:right w:val="none" w:sz="0" w:space="0" w:color="auto"/>
      </w:divBdr>
    </w:div>
    <w:div w:id="1329744683">
      <w:bodyDiv w:val="1"/>
      <w:marLeft w:val="0"/>
      <w:marRight w:val="0"/>
      <w:marTop w:val="0"/>
      <w:marBottom w:val="0"/>
      <w:divBdr>
        <w:top w:val="none" w:sz="0" w:space="0" w:color="auto"/>
        <w:left w:val="none" w:sz="0" w:space="0" w:color="auto"/>
        <w:bottom w:val="none" w:sz="0" w:space="0" w:color="auto"/>
        <w:right w:val="none" w:sz="0" w:space="0" w:color="auto"/>
      </w:divBdr>
    </w:div>
    <w:div w:id="1429807879">
      <w:bodyDiv w:val="1"/>
      <w:marLeft w:val="0"/>
      <w:marRight w:val="0"/>
      <w:marTop w:val="0"/>
      <w:marBottom w:val="0"/>
      <w:divBdr>
        <w:top w:val="none" w:sz="0" w:space="0" w:color="auto"/>
        <w:left w:val="none" w:sz="0" w:space="0" w:color="auto"/>
        <w:bottom w:val="none" w:sz="0" w:space="0" w:color="auto"/>
        <w:right w:val="none" w:sz="0" w:space="0" w:color="auto"/>
      </w:divBdr>
    </w:div>
    <w:div w:id="15132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tract-research-organization-market" TargetMode="External"/><Relationship Id="rId3" Type="http://schemas.openxmlformats.org/officeDocument/2006/relationships/settings" Target="settings.xml"/><Relationship Id="rId7" Type="http://schemas.openxmlformats.org/officeDocument/2006/relationships/hyperlink" Target="https://www.skyquestt.com/buy-now/contract-research-organiz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ntract-research-organization-market" TargetMode="External"/><Relationship Id="rId5" Type="http://schemas.openxmlformats.org/officeDocument/2006/relationships/hyperlink" Target="https://www.skyquestt.com/sample-request/contract-research-organiza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2025-06-16T05:33:00Z</dcterms:created>
  <dcterms:modified xsi:type="dcterms:W3CDTF">2025-06-16T05:43:00Z</dcterms:modified>
</cp:coreProperties>
</file>