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E074" w14:textId="66D7911E" w:rsidR="000B720D" w:rsidRPr="006A4C42" w:rsidRDefault="000B720D" w:rsidP="000B720D">
      <w:r w:rsidRPr="006A4C42">
        <w:t>がん治療薬市場の将来の成長:2032年までの戦略的動向と洞察</w:t>
      </w:r>
    </w:p>
    <w:p w14:paraId="3DEA02A4" w14:textId="77777777" w:rsidR="000B720D" w:rsidRDefault="000B720D" w:rsidP="000B720D">
      <w:r w:rsidRPr="000B720D">
        <w:t>がんの世界的な負担の増加は、少なくとも部分的には、人口の高齢化、ライフスタイルの変化、環境への曝露に起因しており、新しい治療戦略の探求と世界のがん治療薬市場を推進しています。この成長する顧客は、さまざまながんと追加のアンメットメディカルニーズにおける継続的な研究開発努力の必要性を育んでいます。</w:t>
      </w:r>
    </w:p>
    <w:p w14:paraId="22D147EC" w14:textId="77777777" w:rsidR="000B720D" w:rsidRPr="000B720D" w:rsidRDefault="000B720D" w:rsidP="000B720D">
      <w:pPr>
        <w:rPr>
          <w:b/>
          <w:bCs/>
        </w:rPr>
      </w:pPr>
      <w:r w:rsidRPr="000B720D">
        <w:rPr>
          <w:b/>
          <w:bCs/>
        </w:rPr>
        <w:t>腫瘍治療薬の市場規模は、2023年に1,336億4,000万米ドルと評価され、2024年の1,500億8,000万米ドルから2032年までに3,796億2,000万米ドルに成長し、予測期間(2025-2032)中に12.3%のCAGRで成長する態勢を整えています。</w:t>
      </w:r>
    </w:p>
    <w:p w14:paraId="70AE0ABA" w14:textId="77777777" w:rsidR="000B720D" w:rsidRPr="006A4C42" w:rsidRDefault="000B720D" w:rsidP="000B720D">
      <w:r w:rsidRPr="006A4C42">
        <w:t>がんの負担の増加は、少なくとも部分的には高齢化、ライフスタイルの変化、環境への曝露に起因しており、新しい治療戦略とがん治療薬市場の探求を後押ししています。この成長する顧客は、さまざまながんと追加のアンメットメディカルニーズにおける継続的な研究開発努力の必要性を育んでいます。また、がん治療薬の開発における大きな進歩は、特に分子生物学、ゲノミクス、免疫療法などの分野における科学技術の進歩によるものです。</w:t>
      </w:r>
    </w:p>
    <w:p w14:paraId="5FDE83DE" w14:textId="77777777" w:rsidR="000B720D" w:rsidRPr="006A4C42" w:rsidRDefault="000B720D" w:rsidP="000B720D">
      <w:r w:rsidRPr="006A4C42">
        <w:rPr>
          <w:b/>
          <w:bCs/>
        </w:rPr>
        <w:t xml:space="preserve">レポートの無料サンプルPDFを入手する - </w:t>
      </w:r>
      <w:hyperlink r:id="rId5" w:history="1">
        <w:r w:rsidRPr="006A4C42">
          <w:rPr>
            <w:rStyle w:val="Hyperlink"/>
          </w:rPr>
          <w:t>https://www.skyquestt.com/sample-request/oncology-drugs-market</w:t>
        </w:r>
      </w:hyperlink>
    </w:p>
    <w:p w14:paraId="10177943" w14:textId="3429D2C1" w:rsidR="000B720D" w:rsidRDefault="000B720D" w:rsidP="000B720D">
      <w:r w:rsidRPr="006A4C42">
        <w:t>レポートの詳細なセグメンテーションと分類(市場規模と予測-2032年、前年比成長率、およびCAGR):</w:t>
      </w:r>
    </w:p>
    <w:p w14:paraId="0EAF35FE" w14:textId="77777777" w:rsidR="000B720D" w:rsidRDefault="000B720D" w:rsidP="000B720D">
      <w:r w:rsidRPr="000B720D">
        <w:t xml:space="preserve">世界の腫瘍薬市場は、薬物クラス、治療、適応症、エンドユーザー、地域によって分割されています。 </w:t>
      </w:r>
    </w:p>
    <w:p w14:paraId="71CB628E" w14:textId="77777777" w:rsidR="000B720D" w:rsidRDefault="000B720D" w:rsidP="000B720D">
      <w:pPr>
        <w:pStyle w:val="ListParagraph"/>
        <w:numPr>
          <w:ilvl w:val="0"/>
          <w:numId w:val="1"/>
        </w:numPr>
      </w:pPr>
      <w:r w:rsidRPr="000B720D">
        <w:t xml:space="preserve">薬物クラスに基づいて、市場は細胞毒性薬、標的薬、ホルモン薬、その他に分割されます。 </w:t>
      </w:r>
    </w:p>
    <w:p w14:paraId="2C0D4A4D" w14:textId="77777777" w:rsidR="000B720D" w:rsidRDefault="000B720D" w:rsidP="000B720D">
      <w:pPr>
        <w:pStyle w:val="ListParagraph"/>
        <w:numPr>
          <w:ilvl w:val="0"/>
          <w:numId w:val="1"/>
        </w:numPr>
      </w:pPr>
      <w:r w:rsidRPr="000B720D">
        <w:t xml:space="preserve">治療に基づいて、市場は化学療法標的療法と免疫療法に分割されます。 </w:t>
      </w:r>
    </w:p>
    <w:p w14:paraId="2DD3ADD9" w14:textId="77777777" w:rsidR="000B720D" w:rsidRDefault="000B720D" w:rsidP="000B720D">
      <w:pPr>
        <w:pStyle w:val="ListParagraph"/>
        <w:numPr>
          <w:ilvl w:val="0"/>
          <w:numId w:val="1"/>
        </w:numPr>
      </w:pPr>
      <w:r w:rsidRPr="000B720D">
        <w:t xml:space="preserve">適応症に基づいて、市場は肺がん、胃がん、結腸直腸がん、乳がん、前立腺がんなどに分割されます。 </w:t>
      </w:r>
    </w:p>
    <w:p w14:paraId="09960946" w14:textId="77777777" w:rsidR="000B720D" w:rsidRDefault="000B720D" w:rsidP="000B720D">
      <w:pPr>
        <w:pStyle w:val="ListParagraph"/>
        <w:numPr>
          <w:ilvl w:val="0"/>
          <w:numId w:val="1"/>
        </w:numPr>
      </w:pPr>
      <w:r w:rsidRPr="000B720D">
        <w:t xml:space="preserve">剤形に基づいて、市場は自動車、家電、ヘルスケア、農業、製造などに分割されます。 </w:t>
      </w:r>
    </w:p>
    <w:p w14:paraId="2C233BDA" w14:textId="2CC12ADC" w:rsidR="000B720D" w:rsidRDefault="000B720D" w:rsidP="000B720D">
      <w:pPr>
        <w:pStyle w:val="ListParagraph"/>
        <w:numPr>
          <w:ilvl w:val="0"/>
          <w:numId w:val="1"/>
        </w:numPr>
      </w:pPr>
      <w:r w:rsidRPr="000B720D">
        <w:t xml:space="preserve">地域に基づいて、市場は北米、ヨーロッパ、アジア太平洋、ラテンアメリカ、中東およびアフリカに分割されます。 </w:t>
      </w:r>
    </w:p>
    <w:p w14:paraId="4E987DD7" w14:textId="3F170E5E" w:rsidR="000B720D" w:rsidRDefault="000B720D" w:rsidP="000B720D">
      <w:r w:rsidRPr="006A4C42">
        <w:rPr>
          <w:b/>
          <w:bCs/>
        </w:rPr>
        <w:t>腫瘍治療薬市場 - 地域分析:</w:t>
      </w:r>
    </w:p>
    <w:p w14:paraId="70A6E8F5" w14:textId="233DEA6A" w:rsidR="000B720D" w:rsidRDefault="000B720D" w:rsidP="000B720D">
      <w:r w:rsidRPr="000B720D">
        <w:t>北米は、その高度な医療インフラ、強固な研究開発能力、バイオテクノロジーと医薬品への高水準の投資により、現在、世界の腫瘍治療薬市場を支配しています。大手製薬会</w:t>
      </w:r>
      <w:r w:rsidRPr="000B720D">
        <w:lastRenderedPageBreak/>
        <w:t>社の存在や多くの研究センターの設立など、新たながん治療薬が短期間で開発・承認されるという環境が進んでいます。</w:t>
      </w:r>
    </w:p>
    <w:p w14:paraId="2C0B5975" w14:textId="3834E318" w:rsidR="000B720D" w:rsidRPr="006A4C42" w:rsidRDefault="000B720D" w:rsidP="000B720D">
      <w:r w:rsidRPr="000B720D">
        <w:t>欧州は、がん罹患率の増加、認知度の向上、治療選択肢の進歩が相まって、世界のがん治療薬市場で最も急成長している地域として浮上しています。大規模な官民投資の結果、この地域は、新しい治療オプションと臨床研究の出現を可能にする研究と革新への熱意によっても特徴付けられています。</w:t>
      </w:r>
    </w:p>
    <w:p w14:paraId="7C5BF2B4" w14:textId="7E5C2C41" w:rsidR="000B720D" w:rsidRPr="000B720D" w:rsidRDefault="000B720D" w:rsidP="000B720D">
      <w:r w:rsidRPr="000B720D">
        <w:rPr>
          <w:b/>
          <w:bCs/>
        </w:rPr>
        <w:t xml:space="preserve">このレポートをカスタマイズしますか?アナリストに話す: </w:t>
      </w:r>
      <w:hyperlink r:id="rId6" w:history="1">
        <w:r w:rsidRPr="000B720D">
          <w:rPr>
            <w:rStyle w:val="Hyperlink"/>
          </w:rPr>
          <w:t>https://www.skyquestt.com/speak-with-analyst/oncology-drugs-market</w:t>
        </w:r>
      </w:hyperlink>
      <w:r w:rsidRPr="000B720D">
        <w:t xml:space="preserve"> </w:t>
      </w:r>
    </w:p>
    <w:p w14:paraId="4B207C38" w14:textId="3CD617CD" w:rsidR="000B720D" w:rsidRPr="006A4C42" w:rsidRDefault="000B720D" w:rsidP="000B720D">
      <w:r w:rsidRPr="006A4C42">
        <w:rPr>
          <w:b/>
          <w:bCs/>
        </w:rPr>
        <w:t>腫瘍治療薬市場のトップマーケットプレーヤーは次のとおりです。</w:t>
      </w:r>
    </w:p>
    <w:p w14:paraId="3BD7DF82" w14:textId="77777777" w:rsidR="000B720D" w:rsidRDefault="000B720D" w:rsidP="000B720D">
      <w:pPr>
        <w:pStyle w:val="ListParagraph"/>
        <w:numPr>
          <w:ilvl w:val="0"/>
          <w:numId w:val="3"/>
        </w:numPr>
      </w:pPr>
      <w:r>
        <w:t xml:space="preserve">F. Hoffmann-La Roche Ltd.(スイス) </w:t>
      </w:r>
    </w:p>
    <w:p w14:paraId="63A64076" w14:textId="77777777" w:rsidR="000B720D" w:rsidRDefault="000B720D" w:rsidP="000B720D">
      <w:pPr>
        <w:pStyle w:val="ListParagraph"/>
        <w:numPr>
          <w:ilvl w:val="0"/>
          <w:numId w:val="3"/>
        </w:numPr>
      </w:pPr>
      <w:r>
        <w:t xml:space="preserve">アムジェン社(米国) </w:t>
      </w:r>
    </w:p>
    <w:p w14:paraId="7C03DE95" w14:textId="77777777" w:rsidR="000B720D" w:rsidRDefault="000B720D" w:rsidP="000B720D">
      <w:pPr>
        <w:pStyle w:val="ListParagraph"/>
        <w:numPr>
          <w:ilvl w:val="0"/>
          <w:numId w:val="3"/>
        </w:numPr>
      </w:pPr>
      <w:r>
        <w:t xml:space="preserve">Novartis AG (スイス) </w:t>
      </w:r>
    </w:p>
    <w:p w14:paraId="3B7EF3AA" w14:textId="77777777" w:rsidR="000B720D" w:rsidRDefault="000B720D" w:rsidP="000B720D">
      <w:pPr>
        <w:pStyle w:val="ListParagraph"/>
        <w:numPr>
          <w:ilvl w:val="0"/>
          <w:numId w:val="3"/>
        </w:numPr>
      </w:pPr>
      <w:r>
        <w:t xml:space="preserve">ブリストル・マイヤーズ スクイブ社(米国) </w:t>
      </w:r>
    </w:p>
    <w:p w14:paraId="10568C37" w14:textId="77777777" w:rsidR="000B720D" w:rsidRDefault="000B720D" w:rsidP="000B720D">
      <w:pPr>
        <w:pStyle w:val="ListParagraph"/>
        <w:numPr>
          <w:ilvl w:val="0"/>
          <w:numId w:val="3"/>
        </w:numPr>
      </w:pPr>
      <w:r>
        <w:t xml:space="preserve">ファイザー社(米国) </w:t>
      </w:r>
    </w:p>
    <w:p w14:paraId="634DCA15" w14:textId="77777777" w:rsidR="000B720D" w:rsidRDefault="000B720D" w:rsidP="000B720D">
      <w:pPr>
        <w:pStyle w:val="ListParagraph"/>
        <w:numPr>
          <w:ilvl w:val="0"/>
          <w:numId w:val="3"/>
        </w:numPr>
      </w:pPr>
      <w:r>
        <w:t xml:space="preserve">アステラス製薬株式会社(日本) </w:t>
      </w:r>
    </w:p>
    <w:p w14:paraId="3A4E78FF" w14:textId="77777777" w:rsidR="000B720D" w:rsidRDefault="000B720D" w:rsidP="000B720D">
      <w:pPr>
        <w:pStyle w:val="ListParagraph"/>
        <w:numPr>
          <w:ilvl w:val="0"/>
          <w:numId w:val="3"/>
        </w:numPr>
      </w:pPr>
      <w:r>
        <w:t xml:space="preserve">ジョンソン・エンド・ジョンソン (米国) </w:t>
      </w:r>
    </w:p>
    <w:p w14:paraId="6F84A1A8" w14:textId="77777777" w:rsidR="000B720D" w:rsidRDefault="000B720D" w:rsidP="000B720D">
      <w:pPr>
        <w:pStyle w:val="ListParagraph"/>
        <w:numPr>
          <w:ilvl w:val="0"/>
          <w:numId w:val="3"/>
        </w:numPr>
      </w:pPr>
      <w:r>
        <w:t xml:space="preserve">アストラゼネカplc(英国) </w:t>
      </w:r>
    </w:p>
    <w:p w14:paraId="4E3A8DC3" w14:textId="77777777" w:rsidR="000B720D" w:rsidRDefault="000B720D" w:rsidP="000B720D">
      <w:pPr>
        <w:pStyle w:val="ListParagraph"/>
        <w:numPr>
          <w:ilvl w:val="0"/>
          <w:numId w:val="3"/>
        </w:numPr>
      </w:pPr>
      <w:r>
        <w:t xml:space="preserve">AbbVie Inc.(米国) </w:t>
      </w:r>
    </w:p>
    <w:p w14:paraId="375D42B0" w14:textId="77777777" w:rsidR="000B720D" w:rsidRDefault="000B720D" w:rsidP="000B720D">
      <w:pPr>
        <w:pStyle w:val="ListParagraph"/>
        <w:numPr>
          <w:ilvl w:val="0"/>
          <w:numId w:val="3"/>
        </w:numPr>
      </w:pPr>
      <w:r>
        <w:t xml:space="preserve">Merck &amp; Co., Inc. (米国)  </w:t>
      </w:r>
    </w:p>
    <w:p w14:paraId="0FD43368" w14:textId="77777777" w:rsidR="000B720D" w:rsidRDefault="000B720D" w:rsidP="000B720D">
      <w:pPr>
        <w:pStyle w:val="ListParagraph"/>
        <w:numPr>
          <w:ilvl w:val="0"/>
          <w:numId w:val="3"/>
        </w:numPr>
      </w:pPr>
      <w:r>
        <w:t xml:space="preserve">イーライリリー・アンド・カンパニー(米国) </w:t>
      </w:r>
    </w:p>
    <w:p w14:paraId="5AC4CB9C" w14:textId="77777777" w:rsidR="000B720D" w:rsidRDefault="000B720D" w:rsidP="000B720D">
      <w:pPr>
        <w:pStyle w:val="ListParagraph"/>
        <w:numPr>
          <w:ilvl w:val="0"/>
          <w:numId w:val="3"/>
        </w:numPr>
      </w:pPr>
      <w:r>
        <w:t xml:space="preserve">Sanofi S.A. (フランス) </w:t>
      </w:r>
    </w:p>
    <w:p w14:paraId="4AC40DAB" w14:textId="77777777" w:rsidR="000B720D" w:rsidRDefault="000B720D" w:rsidP="000B720D">
      <w:pPr>
        <w:pStyle w:val="ListParagraph"/>
        <w:numPr>
          <w:ilvl w:val="0"/>
          <w:numId w:val="3"/>
        </w:numPr>
      </w:pPr>
      <w:r>
        <w:t xml:space="preserve">ギリアド・サイエンシズ社(米国) </w:t>
      </w:r>
    </w:p>
    <w:p w14:paraId="5E4D2579" w14:textId="77777777" w:rsidR="000B720D" w:rsidRDefault="000B720D" w:rsidP="000B720D">
      <w:pPr>
        <w:pStyle w:val="ListParagraph"/>
        <w:numPr>
          <w:ilvl w:val="0"/>
          <w:numId w:val="3"/>
        </w:numPr>
      </w:pPr>
      <w:r>
        <w:t xml:space="preserve">リジェネロン・ファーマシューティカルズ・インク(米国) </w:t>
      </w:r>
    </w:p>
    <w:p w14:paraId="50A37051" w14:textId="77777777" w:rsidR="000B720D" w:rsidRDefault="000B720D" w:rsidP="000B720D">
      <w:pPr>
        <w:pStyle w:val="ListParagraph"/>
        <w:numPr>
          <w:ilvl w:val="0"/>
          <w:numId w:val="3"/>
        </w:numPr>
      </w:pPr>
      <w:r>
        <w:t xml:space="preserve">Incyte Corporation (米国) </w:t>
      </w:r>
    </w:p>
    <w:p w14:paraId="2918B9B4" w14:textId="77777777" w:rsidR="000B720D" w:rsidRDefault="000B720D" w:rsidP="000B720D">
      <w:pPr>
        <w:pStyle w:val="ListParagraph"/>
        <w:numPr>
          <w:ilvl w:val="0"/>
          <w:numId w:val="3"/>
        </w:numPr>
      </w:pPr>
      <w:r>
        <w:t xml:space="preserve">バーテックス・ファーマシューティカルズ・インコーポレイテッド(米国) </w:t>
      </w:r>
    </w:p>
    <w:p w14:paraId="349905E8" w14:textId="77777777" w:rsidR="000B720D" w:rsidRDefault="000B720D" w:rsidP="000B720D">
      <w:pPr>
        <w:pStyle w:val="ListParagraph"/>
        <w:numPr>
          <w:ilvl w:val="0"/>
          <w:numId w:val="3"/>
        </w:numPr>
      </w:pPr>
      <w:proofErr w:type="spellStart"/>
      <w:r>
        <w:t>Seagen</w:t>
      </w:r>
      <w:proofErr w:type="spellEnd"/>
      <w:r>
        <w:t xml:space="preserve"> Inc. (</w:t>
      </w:r>
      <w:proofErr w:type="spellStart"/>
      <w:r>
        <w:t>米国</w:t>
      </w:r>
      <w:proofErr w:type="spellEnd"/>
      <w:r>
        <w:t xml:space="preserve">) </w:t>
      </w:r>
    </w:p>
    <w:p w14:paraId="6D84751D" w14:textId="77777777" w:rsidR="000B720D" w:rsidRDefault="000B720D" w:rsidP="000B720D">
      <w:pPr>
        <w:pStyle w:val="ListParagraph"/>
        <w:numPr>
          <w:ilvl w:val="0"/>
          <w:numId w:val="3"/>
        </w:numPr>
      </w:pPr>
      <w:r>
        <w:t xml:space="preserve">ブループリント・メディシンズ・コーポレーション(米国) </w:t>
      </w:r>
    </w:p>
    <w:p w14:paraId="0D8DBF97" w14:textId="77777777" w:rsidR="000B720D" w:rsidRDefault="000B720D" w:rsidP="000B720D">
      <w:pPr>
        <w:pStyle w:val="ListParagraph"/>
        <w:numPr>
          <w:ilvl w:val="0"/>
          <w:numId w:val="3"/>
        </w:numPr>
      </w:pPr>
      <w:r>
        <w:t xml:space="preserve">Mirati Therapeutics, Inc.(米国) </w:t>
      </w:r>
    </w:p>
    <w:p w14:paraId="11FBC69F" w14:textId="77777777" w:rsidR="000B720D" w:rsidRDefault="000B720D" w:rsidP="000B720D">
      <w:pPr>
        <w:pStyle w:val="ListParagraph"/>
        <w:numPr>
          <w:ilvl w:val="0"/>
          <w:numId w:val="3"/>
        </w:numPr>
      </w:pPr>
      <w:proofErr w:type="spellStart"/>
      <w:r>
        <w:t>Xencor</w:t>
      </w:r>
      <w:proofErr w:type="spellEnd"/>
      <w:r>
        <w:t>, Inc.(</w:t>
      </w:r>
      <w:proofErr w:type="spellStart"/>
      <w:r>
        <w:t>米国</w:t>
      </w:r>
      <w:proofErr w:type="spellEnd"/>
      <w:r>
        <w:t xml:space="preserve">) </w:t>
      </w:r>
    </w:p>
    <w:p w14:paraId="02FF6F2C" w14:textId="77777777" w:rsidR="000B720D" w:rsidRDefault="000B720D" w:rsidP="000B720D">
      <w:pPr>
        <w:pStyle w:val="ListParagraph"/>
        <w:numPr>
          <w:ilvl w:val="0"/>
          <w:numId w:val="3"/>
        </w:numPr>
      </w:pPr>
      <w:proofErr w:type="spellStart"/>
      <w:r>
        <w:t>NantKwest</w:t>
      </w:r>
      <w:proofErr w:type="spellEnd"/>
      <w:r>
        <w:t>, Inc.(</w:t>
      </w:r>
      <w:proofErr w:type="spellStart"/>
      <w:r>
        <w:t>米国</w:t>
      </w:r>
      <w:proofErr w:type="spellEnd"/>
      <w:r>
        <w:t xml:space="preserve">) </w:t>
      </w:r>
    </w:p>
    <w:p w14:paraId="6C7DD519" w14:textId="1C58A14F" w:rsidR="000B720D" w:rsidRDefault="000B720D" w:rsidP="000B720D">
      <w:pPr>
        <w:pStyle w:val="ListParagraph"/>
        <w:numPr>
          <w:ilvl w:val="0"/>
          <w:numId w:val="3"/>
        </w:numPr>
      </w:pPr>
      <w:proofErr w:type="spellStart"/>
      <w:r>
        <w:t>Zymeworks</w:t>
      </w:r>
      <w:proofErr w:type="spellEnd"/>
      <w:r>
        <w:t xml:space="preserve"> Inc.(</w:t>
      </w:r>
      <w:proofErr w:type="spellStart"/>
      <w:r>
        <w:t>カナダ</w:t>
      </w:r>
      <w:proofErr w:type="spellEnd"/>
      <w:r>
        <w:t>)</w:t>
      </w:r>
    </w:p>
    <w:p w14:paraId="1C05E30D" w14:textId="77777777" w:rsidR="000B720D" w:rsidRPr="000B720D" w:rsidRDefault="000B720D" w:rsidP="000B720D">
      <w:pPr>
        <w:rPr>
          <w:b/>
          <w:bCs/>
        </w:rPr>
      </w:pPr>
      <w:r w:rsidRPr="000B720D">
        <w:rPr>
          <w:b/>
          <w:bCs/>
        </w:rPr>
        <w:t>がん治療薬市場 最近の動向</w:t>
      </w:r>
    </w:p>
    <w:p w14:paraId="28E430E8" w14:textId="77777777" w:rsidR="000B720D" w:rsidRPr="000B720D" w:rsidRDefault="000B720D" w:rsidP="000B720D">
      <w:pPr>
        <w:numPr>
          <w:ilvl w:val="0"/>
          <w:numId w:val="2"/>
        </w:numPr>
      </w:pPr>
      <w:r w:rsidRPr="000B720D">
        <w:lastRenderedPageBreak/>
        <w:t>2024年9月、ロシュ社は、新薬チラゴルマブの第III相臨床試験で幸先の良い結果を発表しました。この研究では、非小細胞肺がん患者の無増悪生存率が大幅に改善したことが示されました。これは、がんに対する新しい標的療法の開発と患者の生活の質の向上に対するロシュの献身的な取り組みを支えています。</w:t>
      </w:r>
    </w:p>
    <w:p w14:paraId="7F3E598A" w14:textId="1D0378F7" w:rsidR="000B720D" w:rsidRPr="006A4C42" w:rsidRDefault="000B720D" w:rsidP="000B720D">
      <w:pPr>
        <w:pStyle w:val="ListParagraph"/>
        <w:numPr>
          <w:ilvl w:val="0"/>
          <w:numId w:val="2"/>
        </w:numPr>
      </w:pPr>
      <w:r w:rsidRPr="000B720D">
        <w:t>2024年11月、アストラゼネカは、進歩的な治療オプションへの専念を強調し、新しい進行性前立腺がん精密医療の商業化を発表しました。この薬は、この疾患の第3選択治療であり、死亡率に特定の遺伝子変異を持つ限局性の癌に効果的です。</w:t>
      </w:r>
    </w:p>
    <w:p w14:paraId="15FDF075" w14:textId="77777777" w:rsidR="000B720D" w:rsidRPr="006A4C42" w:rsidRDefault="000B720D" w:rsidP="000B720D">
      <w:r w:rsidRPr="006A4C42">
        <w:rPr>
          <w:b/>
          <w:bCs/>
        </w:rPr>
        <w:t>将来を見据えたインサイト</w:t>
      </w:r>
    </w:p>
    <w:p w14:paraId="49FE6C94" w14:textId="77777777" w:rsidR="000B720D" w:rsidRDefault="000B720D" w:rsidP="000B720D">
      <w:r w:rsidRPr="006A4C42">
        <w:t>腫瘍治療薬市場は、技術の進歩、より広範な市場アクセス、および業界の需要の高まりに支えられて、持続的な成長を遂げるように設定されています。業界が新たな課題に取り組み、新たな機会を活用することで、イノベーションを推進し、健康と経済の進歩を促進する上で極めて重要な役割を果たすことが期待されています。</w:t>
      </w:r>
    </w:p>
    <w:p w14:paraId="215EF55D" w14:textId="019B59DC" w:rsidR="000B720D" w:rsidRPr="006A4C42" w:rsidRDefault="000B720D" w:rsidP="000B720D">
      <w:r>
        <w:t xml:space="preserve">レポート全文を見る: </w:t>
      </w:r>
      <w:hyperlink r:id="rId7" w:history="1">
        <w:r w:rsidRPr="00586095">
          <w:rPr>
            <w:rStyle w:val="Hyperlink"/>
          </w:rPr>
          <w:t>https://www.skyquestt.com/report/oncology-drugs-market</w:t>
        </w:r>
      </w:hyperlink>
      <w:r>
        <w:t xml:space="preserve"> </w:t>
      </w:r>
    </w:p>
    <w:p w14:paraId="40984CD2" w14:textId="77777777" w:rsidR="000B720D" w:rsidRPr="006A4C42" w:rsidRDefault="000B720D" w:rsidP="000B720D"/>
    <w:p w14:paraId="17FE57B4" w14:textId="7512A1D6" w:rsidR="000B720D" w:rsidRDefault="000B720D"/>
    <w:sectPr w:rsidR="000B7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72F1"/>
    <w:multiLevelType w:val="multilevel"/>
    <w:tmpl w:val="EFB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C6FDE"/>
    <w:multiLevelType w:val="multilevel"/>
    <w:tmpl w:val="EFB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30A09"/>
    <w:multiLevelType w:val="hybridMultilevel"/>
    <w:tmpl w:val="70E8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471882">
    <w:abstractNumId w:val="2"/>
  </w:num>
  <w:num w:numId="2" w16cid:durableId="1857496363">
    <w:abstractNumId w:val="1"/>
  </w:num>
  <w:num w:numId="3" w16cid:durableId="145105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0D"/>
    <w:rsid w:val="000B720D"/>
    <w:rsid w:val="00124A9E"/>
    <w:rsid w:val="001D01DB"/>
    <w:rsid w:val="00274CDA"/>
    <w:rsid w:val="004D40C5"/>
    <w:rsid w:val="00567824"/>
    <w:rsid w:val="00B354D8"/>
    <w:rsid w:val="00B92C2B"/>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158E"/>
  <w15:chartTrackingRefBased/>
  <w15:docId w15:val="{9F91A589-D7CC-4FF1-83FA-148AFF95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0D"/>
  </w:style>
  <w:style w:type="paragraph" w:styleId="Heading1">
    <w:name w:val="heading 1"/>
    <w:basedOn w:val="Normal"/>
    <w:next w:val="Normal"/>
    <w:link w:val="Heading1Char"/>
    <w:uiPriority w:val="9"/>
    <w:qFormat/>
    <w:rsid w:val="000B7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2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2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2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2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2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2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2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2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20D"/>
    <w:rPr>
      <w:rFonts w:eastAsiaTheme="majorEastAsia" w:cstheme="majorBidi"/>
      <w:color w:val="272727" w:themeColor="text1" w:themeTint="D8"/>
    </w:rPr>
  </w:style>
  <w:style w:type="paragraph" w:styleId="Title">
    <w:name w:val="Title"/>
    <w:basedOn w:val="Normal"/>
    <w:next w:val="Normal"/>
    <w:link w:val="TitleChar"/>
    <w:uiPriority w:val="10"/>
    <w:qFormat/>
    <w:rsid w:val="000B7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20D"/>
    <w:pPr>
      <w:spacing w:before="160"/>
      <w:jc w:val="center"/>
    </w:pPr>
    <w:rPr>
      <w:i/>
      <w:iCs/>
      <w:color w:val="404040" w:themeColor="text1" w:themeTint="BF"/>
    </w:rPr>
  </w:style>
  <w:style w:type="character" w:customStyle="1" w:styleId="QuoteChar">
    <w:name w:val="Quote Char"/>
    <w:basedOn w:val="DefaultParagraphFont"/>
    <w:link w:val="Quote"/>
    <w:uiPriority w:val="29"/>
    <w:rsid w:val="000B720D"/>
    <w:rPr>
      <w:i/>
      <w:iCs/>
      <w:color w:val="404040" w:themeColor="text1" w:themeTint="BF"/>
    </w:rPr>
  </w:style>
  <w:style w:type="paragraph" w:styleId="ListParagraph">
    <w:name w:val="List Paragraph"/>
    <w:basedOn w:val="Normal"/>
    <w:uiPriority w:val="34"/>
    <w:qFormat/>
    <w:rsid w:val="000B720D"/>
    <w:pPr>
      <w:ind w:left="720"/>
      <w:contextualSpacing/>
    </w:pPr>
  </w:style>
  <w:style w:type="character" w:styleId="IntenseEmphasis">
    <w:name w:val="Intense Emphasis"/>
    <w:basedOn w:val="DefaultParagraphFont"/>
    <w:uiPriority w:val="21"/>
    <w:qFormat/>
    <w:rsid w:val="000B720D"/>
    <w:rPr>
      <w:i/>
      <w:iCs/>
      <w:color w:val="2F5496" w:themeColor="accent1" w:themeShade="BF"/>
    </w:rPr>
  </w:style>
  <w:style w:type="paragraph" w:styleId="IntenseQuote">
    <w:name w:val="Intense Quote"/>
    <w:basedOn w:val="Normal"/>
    <w:next w:val="Normal"/>
    <w:link w:val="IntenseQuoteChar"/>
    <w:uiPriority w:val="30"/>
    <w:qFormat/>
    <w:rsid w:val="000B7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20D"/>
    <w:rPr>
      <w:i/>
      <w:iCs/>
      <w:color w:val="2F5496" w:themeColor="accent1" w:themeShade="BF"/>
    </w:rPr>
  </w:style>
  <w:style w:type="character" w:styleId="IntenseReference">
    <w:name w:val="Intense Reference"/>
    <w:basedOn w:val="DefaultParagraphFont"/>
    <w:uiPriority w:val="32"/>
    <w:qFormat/>
    <w:rsid w:val="000B720D"/>
    <w:rPr>
      <w:b/>
      <w:bCs/>
      <w:smallCaps/>
      <w:color w:val="2F5496" w:themeColor="accent1" w:themeShade="BF"/>
      <w:spacing w:val="5"/>
    </w:rPr>
  </w:style>
  <w:style w:type="character" w:styleId="Hyperlink">
    <w:name w:val="Hyperlink"/>
    <w:basedOn w:val="DefaultParagraphFont"/>
    <w:uiPriority w:val="99"/>
    <w:unhideWhenUsed/>
    <w:rsid w:val="000B720D"/>
    <w:rPr>
      <w:color w:val="0563C1" w:themeColor="hyperlink"/>
      <w:u w:val="single"/>
    </w:rPr>
  </w:style>
  <w:style w:type="character" w:styleId="UnresolvedMention">
    <w:name w:val="Unresolved Mention"/>
    <w:basedOn w:val="DefaultParagraphFont"/>
    <w:uiPriority w:val="99"/>
    <w:semiHidden/>
    <w:unhideWhenUsed/>
    <w:rsid w:val="000B720D"/>
    <w:rPr>
      <w:color w:val="605E5C"/>
      <w:shd w:val="clear" w:color="auto" w:fill="E1DFDD"/>
    </w:rPr>
  </w:style>
  <w:style w:type="character" w:styleId="PlaceholderText">
    <w:name w:val="Placeholder Text"/>
    <w:basedOn w:val="DefaultParagraphFont"/>
    <w:uiPriority w:val="99"/>
    <w:semiHidden/>
    <w:rsid w:val="00B92C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5125">
      <w:bodyDiv w:val="1"/>
      <w:marLeft w:val="0"/>
      <w:marRight w:val="0"/>
      <w:marTop w:val="0"/>
      <w:marBottom w:val="0"/>
      <w:divBdr>
        <w:top w:val="none" w:sz="0" w:space="0" w:color="auto"/>
        <w:left w:val="none" w:sz="0" w:space="0" w:color="auto"/>
        <w:bottom w:val="none" w:sz="0" w:space="0" w:color="auto"/>
        <w:right w:val="none" w:sz="0" w:space="0" w:color="auto"/>
      </w:divBdr>
    </w:div>
    <w:div w:id="696008808">
      <w:bodyDiv w:val="1"/>
      <w:marLeft w:val="0"/>
      <w:marRight w:val="0"/>
      <w:marTop w:val="0"/>
      <w:marBottom w:val="0"/>
      <w:divBdr>
        <w:top w:val="none" w:sz="0" w:space="0" w:color="auto"/>
        <w:left w:val="none" w:sz="0" w:space="0" w:color="auto"/>
        <w:bottom w:val="none" w:sz="0" w:space="0" w:color="auto"/>
        <w:right w:val="none" w:sz="0" w:space="0" w:color="auto"/>
      </w:divBdr>
    </w:div>
    <w:div w:id="18138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oncology-drug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ncology-drugs-market" TargetMode="External"/><Relationship Id="rId5" Type="http://schemas.openxmlformats.org/officeDocument/2006/relationships/hyperlink" Target="https://www.skyquestt.com/sample-request/oncology-drug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2025-06-30T12:38:00Z</dcterms:created>
  <dcterms:modified xsi:type="dcterms:W3CDTF">2025-06-30T12:46:00Z</dcterms:modified>
</cp:coreProperties>
</file>