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91BB" w14:textId="31537A5A" w:rsidR="00D22AFA" w:rsidRDefault="00D65210" w:rsidP="00D65210">
      <w:pPr>
        <w:rPr>
          <w:b/>
          <w:bCs/>
        </w:rPr>
      </w:pPr>
      <w:proofErr w:type="spellStart"/>
      <w:r>
        <w:t>日本の</w:t>
      </w:r>
      <w:proofErr w:type="spellEnd"/>
      <w:r>
        <w:t xml:space="preserve"> </w:t>
      </w:r>
      <w:r w:rsidRPr="00D65210">
        <w:rPr>
          <w:b/>
          <w:bCs/>
        </w:rPr>
        <w:t>循環腫瘍細胞市場は2032年までに275億1,000万米ドルに達する見込み</w:t>
      </w:r>
    </w:p>
    <w:p w14:paraId="78B12492" w14:textId="2714C0D6" w:rsidR="00003C0D" w:rsidRDefault="00003C0D" w:rsidP="00D65210">
      <w:pPr>
        <w:rPr>
          <w:b/>
          <w:bCs/>
        </w:rPr>
      </w:pPr>
      <w:r w:rsidRPr="00003C0D">
        <w:rPr>
          <w:b/>
          <w:bCs/>
        </w:rPr>
        <w:t>世界の</w:t>
      </w:r>
      <w:proofErr w:type="gramStart"/>
      <w:r w:rsidRPr="00003C0D">
        <w:rPr>
          <w:b/>
          <w:bCs/>
        </w:rPr>
        <w:t>循環腫瘍細胞(</w:t>
      </w:r>
      <w:proofErr w:type="gramEnd"/>
      <w:r w:rsidRPr="00003C0D">
        <w:rPr>
          <w:b/>
          <w:bCs/>
        </w:rPr>
        <w:t xml:space="preserve">CTC)市場は、ほとんどのがん診断の進歩によって形成された有望な市場ダイナミクスを提供します </w:t>
      </w:r>
      <w:r w:rsidRPr="00003C0D">
        <w:t xml:space="preserve">。ほとんどのがんの発生が増加しているため、CTC評価のような非侵襲的な診断機器の需要が高まっています。主な推進力には、個別化医療への注目の高まりと、ほとんどのがんの早期発見の必要性が含まれます。しかし、技術的な複雑さや標準化の必要性などの課題により、大規模な採用は避けられています。 </w:t>
      </w:r>
    </w:p>
    <w:p w14:paraId="03C3D1C9" w14:textId="77777777" w:rsidR="008F78A7" w:rsidRPr="008F78A7" w:rsidRDefault="008F78A7" w:rsidP="008F78A7">
      <w:pPr>
        <w:rPr>
          <w:b/>
          <w:bCs/>
        </w:rPr>
      </w:pPr>
      <w:r w:rsidRPr="008F78A7">
        <w:rPr>
          <w:b/>
          <w:bCs/>
        </w:rPr>
        <w:t>循環腫瘍細胞の市場規模は2023年に113億8000万米ドルと評価され、2024年の125億5000万米ドルから2032年までに275億1000万米ドルに成長し、予測期間(2025年から2032年)の間に10.3%のCAGRで成長する態勢を整えています。</w:t>
      </w:r>
    </w:p>
    <w:p w14:paraId="0BF65015" w14:textId="415C836B" w:rsidR="00003C0D" w:rsidRPr="008F78A7" w:rsidRDefault="008F78A7" w:rsidP="00D65210">
      <w:r>
        <w:rPr>
          <w:b/>
          <w:bCs/>
        </w:rPr>
        <w:t xml:space="preserve">無料サンプルレポートを入手: </w:t>
      </w:r>
      <w:hyperlink r:id="rId5" w:history="1">
        <w:r w:rsidRPr="008F78A7">
          <w:rPr>
            <w:rStyle w:val="Hyperlink"/>
          </w:rPr>
          <w:t>https://www.skyquestt.com/sample-request/circulating-tumor-cell-market</w:t>
        </w:r>
      </w:hyperlink>
      <w:r w:rsidRPr="008F78A7">
        <w:t xml:space="preserve"> </w:t>
      </w:r>
    </w:p>
    <w:p w14:paraId="6C1DAFEB" w14:textId="118D66E5" w:rsidR="00D65210" w:rsidRPr="00D65210" w:rsidRDefault="00D65210" w:rsidP="00D65210">
      <w:pPr>
        <w:rPr>
          <w:b/>
          <w:bCs/>
        </w:rPr>
      </w:pPr>
      <w:r w:rsidRPr="00D65210">
        <w:rPr>
          <w:b/>
          <w:bCs/>
        </w:rPr>
        <w:t>がんの早期発見とリキッドバイオプシーの需要が牽引する市場成長</w:t>
      </w:r>
    </w:p>
    <w:p w14:paraId="49F2C913" w14:textId="77777777" w:rsidR="00D65210" w:rsidRPr="00D65210" w:rsidRDefault="00D65210" w:rsidP="00D65210">
      <w:r w:rsidRPr="00D65210">
        <w:t>循環腫瘍細胞は、原発腫瘍から分離して血流を通過するがん細胞であり、臨床と研究の両面で重要性を増しています。世界中でがんの有病率が増加していることと、非侵襲的な診断ツールの必要性が相まって、CTC技術の採用が大幅に増加しています。CTCを用いたリキッドバイオプシーは、早期発見、治療モニタリング、個別化医療のために広く統合されています。</w:t>
      </w:r>
    </w:p>
    <w:p w14:paraId="6E38A5E6" w14:textId="77777777" w:rsidR="00FC710E" w:rsidRPr="00FC710E" w:rsidRDefault="00FC710E" w:rsidP="00FC710E">
      <w:pPr>
        <w:rPr>
          <w:b/>
          <w:bCs/>
        </w:rPr>
      </w:pPr>
      <w:r w:rsidRPr="00FC710E">
        <w:rPr>
          <w:b/>
          <w:bCs/>
        </w:rPr>
        <w:t>循環腫瘍細胞市場セグメント分析</w:t>
      </w:r>
    </w:p>
    <w:p w14:paraId="05844370" w14:textId="77777777" w:rsidR="00FC710E" w:rsidRDefault="00FC710E" w:rsidP="00FC710E">
      <w:r>
        <w:t xml:space="preserve">世界の循環腫瘍細胞市場は、製品、標本、技術、アプリケーション、エンドユーザー、および地域に分割されています。 </w:t>
      </w:r>
    </w:p>
    <w:p w14:paraId="15A2A9F1" w14:textId="77777777" w:rsidR="00FC710E" w:rsidRDefault="00FC710E" w:rsidP="00FC710E">
      <w:pPr>
        <w:pStyle w:val="ListParagraph"/>
        <w:numPr>
          <w:ilvl w:val="0"/>
          <w:numId w:val="2"/>
        </w:numPr>
      </w:pPr>
      <w:r>
        <w:t xml:space="preserve">製品に基づいて、市場はキットと試薬、採血管、デバイス、またはシステムに分割されます。 </w:t>
      </w:r>
    </w:p>
    <w:p w14:paraId="68117C45" w14:textId="77777777" w:rsidR="00FC710E" w:rsidRDefault="00FC710E" w:rsidP="00FC710E">
      <w:pPr>
        <w:pStyle w:val="ListParagraph"/>
        <w:numPr>
          <w:ilvl w:val="0"/>
          <w:numId w:val="2"/>
        </w:numPr>
      </w:pPr>
      <w:r>
        <w:t xml:space="preserve">標本に基づいて、市場は血液、骨髄、その他の体液に分割されます。 </w:t>
      </w:r>
    </w:p>
    <w:p w14:paraId="37463B14" w14:textId="77777777" w:rsidR="006412A8" w:rsidRDefault="00FC710E" w:rsidP="00FC710E">
      <w:pPr>
        <w:pStyle w:val="ListParagraph"/>
        <w:numPr>
          <w:ilvl w:val="0"/>
          <w:numId w:val="2"/>
        </w:numPr>
      </w:pPr>
      <w:r>
        <w:t xml:space="preserve">技術に基づいて、市場はCTC検出(免疫捕捉、サイズベースの分離、密度ベースの分離、組み合わせ方法)、CTC検出方法(SERS、顕微鏡、その他)、CTC分析に分割されます。 </w:t>
      </w:r>
    </w:p>
    <w:p w14:paraId="08A023D3" w14:textId="73810268" w:rsidR="00FC710E" w:rsidRDefault="00FC710E" w:rsidP="00FC710E">
      <w:pPr>
        <w:pStyle w:val="ListParagraph"/>
        <w:numPr>
          <w:ilvl w:val="0"/>
          <w:numId w:val="2"/>
        </w:numPr>
      </w:pPr>
      <w:r>
        <w:t xml:space="preserve">アプリケーションに基づいて、市場は臨床リキッドバイオプシー(リスク評価、スクリーニングおよびモニタリング)、研究(がん幹細胞、薬物療法開発)に分割されます。 </w:t>
      </w:r>
    </w:p>
    <w:p w14:paraId="0218BDBD" w14:textId="01D94E5E" w:rsidR="00D65210" w:rsidRPr="00D65210" w:rsidRDefault="00FC710E" w:rsidP="00FC710E">
      <w:pPr>
        <w:pStyle w:val="ListParagraph"/>
        <w:numPr>
          <w:ilvl w:val="0"/>
          <w:numId w:val="2"/>
        </w:numPr>
      </w:pPr>
      <w:r>
        <w:t>エンドユーザーに基づいて、市場は病院およびクリニック、研究および学術機関、診断センターに分割されます。地域に基づいて、市場は北米、ヨーロッパ、アジア太平洋、ラテンアメリカ、中東、アフリカに分割されます。</w:t>
      </w:r>
    </w:p>
    <w:p w14:paraId="1E129A91" w14:textId="77777777" w:rsidR="006412A8" w:rsidRPr="006412A8" w:rsidRDefault="006412A8" w:rsidP="006412A8">
      <w:pPr>
        <w:rPr>
          <w:b/>
          <w:bCs/>
        </w:rPr>
      </w:pPr>
      <w:r w:rsidRPr="006412A8">
        <w:rPr>
          <w:b/>
          <w:bCs/>
        </w:rPr>
        <w:lastRenderedPageBreak/>
        <w:t>循環腫瘍細胞市場地域別の洞察</w:t>
      </w:r>
    </w:p>
    <w:p w14:paraId="5585582D" w14:textId="0CE4EA34" w:rsidR="006412A8" w:rsidRPr="006412A8" w:rsidRDefault="006412A8" w:rsidP="006412A8">
      <w:r w:rsidRPr="006412A8">
        <w:rPr>
          <w:b/>
          <w:bCs/>
        </w:rPr>
        <w:t>北米は、循環腫瘍細胞(CTC)市場を支配する態勢を整えています。この優位性は、この場所の高度な医療インフラ、広範な研究開発活動、およびほとんどのがんの過剰な有病率に起因する可能性があります。医療機関からの強力な支援とうまく連携した規制の枠組みにより、CTCテクノロジーの大幅な採用に貢献し、北米を市場のリーダーとして位置付けています。</w:t>
      </w:r>
    </w:p>
    <w:p w14:paraId="6F1F477B" w14:textId="7794AC82" w:rsidR="006412A8" w:rsidRPr="006412A8" w:rsidRDefault="006412A8" w:rsidP="006412A8">
      <w:r w:rsidRPr="006412A8">
        <w:t>アジア太平洋地域は、CTC市場で最も急速に発展している場所になると予想されています。ほとんどの癌の発生の増加、意識の高まり、約高度な診断時代、および巨額の医療投資を含む要因が、この地域の増加に貢献しています。さらに、中国やインドなどの国々で医療へのアクセスと手頃な価格を強化する取り組みは、ほとんどのがんの分析と追跡にCTC時代の採用を迫ると予想されており、アジア太平洋地域は市場の急成長における主要なプレーヤーとなっています。</w:t>
      </w:r>
    </w:p>
    <w:p w14:paraId="0A33BB5A" w14:textId="7D9242F2" w:rsidR="00D65210" w:rsidRPr="00D65210" w:rsidRDefault="00D65210" w:rsidP="00D65210">
      <w:pPr>
        <w:rPr>
          <w:b/>
          <w:bCs/>
        </w:rPr>
      </w:pPr>
      <w:r w:rsidRPr="00D65210">
        <w:rPr>
          <w:b/>
          <w:bCs/>
        </w:rPr>
        <w:t>テクノロジーランドスケープとセグメントの洞察</w:t>
      </w:r>
    </w:p>
    <w:p w14:paraId="7DA72E4E" w14:textId="77777777" w:rsidR="00D65210" w:rsidRPr="00D65210" w:rsidRDefault="00D65210" w:rsidP="00D65210">
      <w:pPr>
        <w:numPr>
          <w:ilvl w:val="0"/>
          <w:numId w:val="1"/>
        </w:numPr>
      </w:pPr>
      <w:r w:rsidRPr="00D65210">
        <w:rPr>
          <w:b/>
          <w:bCs/>
        </w:rPr>
        <w:t>CTCの検出と濃縮市場は主に、免疫捕捉やサイズベースの分離方法などの濃縮技術によって牽引されています。これらのプラットフォームは、患者の血液サンプルから希少なCTCを分離することを可能にします。</w:t>
      </w:r>
    </w:p>
    <w:p w14:paraId="11A86987" w14:textId="77777777" w:rsidR="00D65210" w:rsidRPr="00D65210" w:rsidRDefault="00D65210" w:rsidP="00D65210">
      <w:pPr>
        <w:numPr>
          <w:ilvl w:val="0"/>
          <w:numId w:val="1"/>
        </w:numPr>
      </w:pPr>
      <w:r w:rsidRPr="00D65210">
        <w:rPr>
          <w:b/>
          <w:bCs/>
        </w:rPr>
        <w:t>直接検出技術顕微鏡ベースのラベルフリー技術は、複雑な前処理なしでCTCを同定する能力で注目を集めています。</w:t>
      </w:r>
    </w:p>
    <w:p w14:paraId="04E52CB3" w14:textId="77777777" w:rsidR="00D65210" w:rsidRPr="00D65210" w:rsidRDefault="00D65210" w:rsidP="00D65210">
      <w:pPr>
        <w:numPr>
          <w:ilvl w:val="0"/>
          <w:numId w:val="1"/>
        </w:numPr>
      </w:pPr>
      <w:r w:rsidRPr="00D65210">
        <w:rPr>
          <w:b/>
          <w:bCs/>
        </w:rPr>
        <w:t>製品セグメンテーション製品ポートフォリオには、診断や研究ワークフローに不可欠なキットや試薬、採血管、分析デバイスなどが含まれています。</w:t>
      </w:r>
    </w:p>
    <w:p w14:paraId="66F07B88" w14:textId="77777777" w:rsidR="00D65210" w:rsidRDefault="00D65210" w:rsidP="00D65210">
      <w:pPr>
        <w:numPr>
          <w:ilvl w:val="0"/>
          <w:numId w:val="1"/>
        </w:numPr>
      </w:pPr>
      <w:r w:rsidRPr="00D65210">
        <w:rPr>
          <w:b/>
          <w:bCs/>
        </w:rPr>
        <w:t>アプリケーションCTCは、がん研究、臨床診断、医薬品開発、個別化治療モニタリングなどで広く使用されています。予後モデリングや予測モデリングにおけるCTCの使用も拡大しています。</w:t>
      </w:r>
    </w:p>
    <w:p w14:paraId="2150A29E" w14:textId="76967325" w:rsidR="004D37DB" w:rsidRDefault="004D37DB" w:rsidP="004D37DB">
      <w:r>
        <w:t>トッププレイヤーの会社概要</w:t>
      </w:r>
    </w:p>
    <w:p w14:paraId="2D7B4D75" w14:textId="77777777" w:rsidR="004D37DB" w:rsidRDefault="004D37DB" w:rsidP="004D37DB">
      <w:pPr>
        <w:pStyle w:val="ListParagraph"/>
        <w:numPr>
          <w:ilvl w:val="0"/>
          <w:numId w:val="3"/>
        </w:numPr>
      </w:pPr>
      <w:r>
        <w:t>ヤンセン・ダイアグノスティックス(ジョンソン・エンド・ジョンソン)</w:t>
      </w:r>
    </w:p>
    <w:p w14:paraId="6E5754F9" w14:textId="77777777" w:rsidR="004D37DB" w:rsidRDefault="004D37DB" w:rsidP="004D37DB">
      <w:pPr>
        <w:pStyle w:val="ListParagraph"/>
        <w:numPr>
          <w:ilvl w:val="0"/>
          <w:numId w:val="3"/>
        </w:numPr>
      </w:pPr>
      <w:r>
        <w:t>シスメックス アメリカ Inc.</w:t>
      </w:r>
    </w:p>
    <w:p w14:paraId="2763BBA3" w14:textId="77777777" w:rsidR="004D37DB" w:rsidRDefault="004D37DB" w:rsidP="004D37DB">
      <w:pPr>
        <w:pStyle w:val="ListParagraph"/>
        <w:numPr>
          <w:ilvl w:val="0"/>
          <w:numId w:val="3"/>
        </w:numPr>
      </w:pPr>
      <w:r>
        <w:t>キアゲン</w:t>
      </w:r>
    </w:p>
    <w:p w14:paraId="38221456" w14:textId="77777777" w:rsidR="004D37DB" w:rsidRDefault="004D37DB" w:rsidP="004D37DB">
      <w:pPr>
        <w:pStyle w:val="ListParagraph"/>
        <w:numPr>
          <w:ilvl w:val="0"/>
          <w:numId w:val="3"/>
        </w:numPr>
      </w:pPr>
      <w:r>
        <w:t>ロシュ・ダイアグノスティックス</w:t>
      </w:r>
    </w:p>
    <w:p w14:paraId="0E7302F5" w14:textId="77777777" w:rsidR="004D37DB" w:rsidRDefault="004D37DB" w:rsidP="004D37DB">
      <w:pPr>
        <w:pStyle w:val="ListParagraph"/>
        <w:numPr>
          <w:ilvl w:val="0"/>
          <w:numId w:val="3"/>
        </w:numPr>
      </w:pPr>
      <w:r>
        <w:t>BD(ベクトン・ディッキンソン・アンド・カンパニー)</w:t>
      </w:r>
    </w:p>
    <w:p w14:paraId="6D453111" w14:textId="77777777" w:rsidR="004D37DB" w:rsidRDefault="004D37DB" w:rsidP="004D37DB">
      <w:pPr>
        <w:pStyle w:val="ListParagraph"/>
        <w:numPr>
          <w:ilvl w:val="0"/>
          <w:numId w:val="3"/>
        </w:numPr>
      </w:pPr>
      <w:proofErr w:type="spellStart"/>
      <w:r>
        <w:t>マクロジェニックス</w:t>
      </w:r>
      <w:proofErr w:type="spellEnd"/>
      <w:r>
        <w:t>(株)</w:t>
      </w:r>
    </w:p>
    <w:p w14:paraId="12783EA2" w14:textId="77777777" w:rsidR="004D37DB" w:rsidRDefault="004D37DB" w:rsidP="004D37DB">
      <w:pPr>
        <w:pStyle w:val="ListParagraph"/>
        <w:numPr>
          <w:ilvl w:val="0"/>
          <w:numId w:val="3"/>
        </w:numPr>
      </w:pPr>
      <w:proofErr w:type="spellStart"/>
      <w:r>
        <w:t>株式会社パーソナリス</w:t>
      </w:r>
      <w:proofErr w:type="spellEnd"/>
    </w:p>
    <w:p w14:paraId="2A077E3B" w14:textId="77777777" w:rsidR="004D37DB" w:rsidRDefault="004D37DB" w:rsidP="004D37DB">
      <w:pPr>
        <w:pStyle w:val="ListParagraph"/>
        <w:numPr>
          <w:ilvl w:val="0"/>
          <w:numId w:val="3"/>
        </w:numPr>
      </w:pPr>
      <w:r>
        <w:t>アングルPLC</w:t>
      </w:r>
    </w:p>
    <w:p w14:paraId="7C826BCE" w14:textId="77777777" w:rsidR="004D37DB" w:rsidRDefault="004D37DB" w:rsidP="004D37DB">
      <w:pPr>
        <w:pStyle w:val="ListParagraph"/>
        <w:numPr>
          <w:ilvl w:val="0"/>
          <w:numId w:val="3"/>
        </w:numPr>
      </w:pPr>
      <w:proofErr w:type="spellStart"/>
      <w:r>
        <w:lastRenderedPageBreak/>
        <w:t>アポセル株式会社</w:t>
      </w:r>
      <w:proofErr w:type="spellEnd"/>
    </w:p>
    <w:p w14:paraId="326EBDE4" w14:textId="77777777" w:rsidR="004D37DB" w:rsidRDefault="004D37DB" w:rsidP="004D37DB">
      <w:pPr>
        <w:pStyle w:val="ListParagraph"/>
        <w:numPr>
          <w:ilvl w:val="0"/>
          <w:numId w:val="3"/>
        </w:numPr>
      </w:pPr>
      <w:proofErr w:type="spellStart"/>
      <w:r>
        <w:t>レアサイト株式会社</w:t>
      </w:r>
      <w:proofErr w:type="spellEnd"/>
    </w:p>
    <w:p w14:paraId="5D7797A3" w14:textId="77777777" w:rsidR="004D37DB" w:rsidRDefault="004D37DB" w:rsidP="004D37DB">
      <w:pPr>
        <w:pStyle w:val="ListParagraph"/>
        <w:numPr>
          <w:ilvl w:val="0"/>
          <w:numId w:val="3"/>
        </w:numPr>
      </w:pPr>
      <w:proofErr w:type="spellStart"/>
      <w:r>
        <w:t>エクソソームDX</w:t>
      </w:r>
      <w:proofErr w:type="spellEnd"/>
    </w:p>
    <w:p w14:paraId="500130D0" w14:textId="77777777" w:rsidR="004D37DB" w:rsidRDefault="004D37DB" w:rsidP="004D37DB">
      <w:pPr>
        <w:pStyle w:val="ListParagraph"/>
        <w:numPr>
          <w:ilvl w:val="0"/>
          <w:numId w:val="3"/>
        </w:numPr>
      </w:pPr>
      <w:r>
        <w:t>Grail株式会社</w:t>
      </w:r>
    </w:p>
    <w:p w14:paraId="58BA8B48" w14:textId="77777777" w:rsidR="004D37DB" w:rsidRDefault="004D37DB" w:rsidP="004D37DB">
      <w:pPr>
        <w:pStyle w:val="ListParagraph"/>
        <w:numPr>
          <w:ilvl w:val="0"/>
          <w:numId w:val="3"/>
        </w:numPr>
      </w:pPr>
      <w:proofErr w:type="spellStart"/>
      <w:r>
        <w:t>Invivoscribe</w:t>
      </w:r>
      <w:proofErr w:type="spellEnd"/>
      <w:r>
        <w:t xml:space="preserve"> Technologies, </w:t>
      </w:r>
      <w:proofErr w:type="spellStart"/>
      <w:r>
        <w:t>LLCの</w:t>
      </w:r>
      <w:proofErr w:type="spellEnd"/>
    </w:p>
    <w:p w14:paraId="077E1C55" w14:textId="77777777" w:rsidR="004D37DB" w:rsidRDefault="004D37DB" w:rsidP="004D37DB">
      <w:pPr>
        <w:pStyle w:val="ListParagraph"/>
        <w:numPr>
          <w:ilvl w:val="0"/>
          <w:numId w:val="3"/>
        </w:numPr>
      </w:pPr>
      <w:r>
        <w:t>エピック・サイエンス株式会社</w:t>
      </w:r>
    </w:p>
    <w:p w14:paraId="0C118DD2" w14:textId="77777777" w:rsidR="004D37DB" w:rsidRDefault="004D37DB" w:rsidP="004D37DB">
      <w:pPr>
        <w:pStyle w:val="ListParagraph"/>
        <w:numPr>
          <w:ilvl w:val="0"/>
          <w:numId w:val="3"/>
        </w:numPr>
      </w:pPr>
      <w:r>
        <w:t>循環バイオマーカーLLC</w:t>
      </w:r>
    </w:p>
    <w:p w14:paraId="187A79D3" w14:textId="77777777" w:rsidR="004D37DB" w:rsidRDefault="004D37DB" w:rsidP="004D37DB">
      <w:pPr>
        <w:pStyle w:val="ListParagraph"/>
        <w:numPr>
          <w:ilvl w:val="0"/>
          <w:numId w:val="3"/>
        </w:numPr>
      </w:pPr>
      <w:proofErr w:type="spellStart"/>
      <w:r>
        <w:t>株式会社ClariCell</w:t>
      </w:r>
      <w:proofErr w:type="spellEnd"/>
      <w:r>
        <w:t>(</w:t>
      </w:r>
      <w:proofErr w:type="spellStart"/>
      <w:r>
        <w:t>クラリセル</w:t>
      </w:r>
      <w:proofErr w:type="spellEnd"/>
      <w:r>
        <w:t>)</w:t>
      </w:r>
    </w:p>
    <w:p w14:paraId="2DA04089" w14:textId="77777777" w:rsidR="004D37DB" w:rsidRDefault="004D37DB" w:rsidP="004D37DB">
      <w:pPr>
        <w:pStyle w:val="ListParagraph"/>
        <w:numPr>
          <w:ilvl w:val="0"/>
          <w:numId w:val="3"/>
        </w:numPr>
      </w:pPr>
      <w:r>
        <w:t>Thrive Earlier Detection(早期検出を成功に導く)</w:t>
      </w:r>
    </w:p>
    <w:p w14:paraId="77D89A0A" w14:textId="77777777" w:rsidR="004D37DB" w:rsidRDefault="004D37DB" w:rsidP="004D37DB">
      <w:pPr>
        <w:pStyle w:val="ListParagraph"/>
        <w:numPr>
          <w:ilvl w:val="0"/>
          <w:numId w:val="3"/>
        </w:numPr>
      </w:pPr>
      <w:proofErr w:type="spellStart"/>
      <w:r>
        <w:t>エルメン</w:t>
      </w:r>
      <w:proofErr w:type="spellEnd"/>
    </w:p>
    <w:p w14:paraId="4B9A5C68" w14:textId="77777777" w:rsidR="004D37DB" w:rsidRDefault="004D37DB" w:rsidP="004D37DB">
      <w:pPr>
        <w:pStyle w:val="ListParagraph"/>
        <w:numPr>
          <w:ilvl w:val="0"/>
          <w:numId w:val="3"/>
        </w:numPr>
      </w:pPr>
      <w:proofErr w:type="spellStart"/>
      <w:r>
        <w:t>ヘラバイオラボ</w:t>
      </w:r>
      <w:proofErr w:type="spellEnd"/>
    </w:p>
    <w:p w14:paraId="11A7DEEB" w14:textId="735F68F6" w:rsidR="004D37DB" w:rsidRDefault="004D37DB" w:rsidP="004D37DB">
      <w:pPr>
        <w:pStyle w:val="ListParagraph"/>
        <w:numPr>
          <w:ilvl w:val="0"/>
          <w:numId w:val="3"/>
        </w:numPr>
      </w:pPr>
      <w:proofErr w:type="spellStart"/>
      <w:r>
        <w:t>セルマックスライフテクノロジーズ</w:t>
      </w:r>
      <w:proofErr w:type="spellEnd"/>
    </w:p>
    <w:p w14:paraId="02A9AD38" w14:textId="77777777" w:rsidR="00D22AFA" w:rsidRPr="00D22AFA" w:rsidRDefault="00D22AFA" w:rsidP="00D22AFA">
      <w:pPr>
        <w:rPr>
          <w:b/>
          <w:bCs/>
        </w:rPr>
      </w:pPr>
      <w:r w:rsidRPr="00D22AFA">
        <w:rPr>
          <w:b/>
          <w:bCs/>
        </w:rPr>
        <w:t>循環腫瘍細胞:主な市場動向</w:t>
      </w:r>
    </w:p>
    <w:p w14:paraId="7E885D56" w14:textId="491A5048" w:rsidR="004D37DB" w:rsidRDefault="00D22AFA" w:rsidP="00D22AFA">
      <w:r>
        <w:t>日常の臨床診療へのCTC分析の統合に向けたシフトの高</w:t>
      </w:r>
      <w:proofErr w:type="gramStart"/>
      <w:r>
        <w:t>まり:CTC</w:t>
      </w:r>
      <w:proofErr w:type="gramEnd"/>
      <w:r>
        <w:t xml:space="preserve">評価を通常の医療運動に組み合わせるという認識可能なシフトは、がんの進行と治療反応のリアルタイム追跡の可能性の助けを借りて推進されています。 </w:t>
      </w:r>
    </w:p>
    <w:p w14:paraId="7A20F35F" w14:textId="2D4D3291" w:rsidR="00D22AFA" w:rsidRPr="00D65210" w:rsidRDefault="00D22AFA" w:rsidP="00D22AFA">
      <w:r>
        <w:t xml:space="preserve">レポート全文を見る: </w:t>
      </w:r>
      <w:hyperlink r:id="rId6" w:history="1">
        <w:r w:rsidRPr="00FC7769">
          <w:rPr>
            <w:rStyle w:val="Hyperlink"/>
          </w:rPr>
          <w:t>https://www.skyquestt.com/report/circulating-tumor-cell-market</w:t>
        </w:r>
      </w:hyperlink>
      <w:r>
        <w:t xml:space="preserve"> </w:t>
      </w:r>
    </w:p>
    <w:p w14:paraId="1391E580" w14:textId="2662A4A8"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18B"/>
    <w:multiLevelType w:val="multilevel"/>
    <w:tmpl w:val="D7E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C1B0D"/>
    <w:multiLevelType w:val="hybridMultilevel"/>
    <w:tmpl w:val="E578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F1146"/>
    <w:multiLevelType w:val="hybridMultilevel"/>
    <w:tmpl w:val="9B7E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069034">
    <w:abstractNumId w:val="0"/>
  </w:num>
  <w:num w:numId="2" w16cid:durableId="1080760340">
    <w:abstractNumId w:val="2"/>
  </w:num>
  <w:num w:numId="3" w16cid:durableId="69738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0"/>
    <w:rsid w:val="00003C0D"/>
    <w:rsid w:val="00004F25"/>
    <w:rsid w:val="001D01DB"/>
    <w:rsid w:val="00274CDA"/>
    <w:rsid w:val="002A591E"/>
    <w:rsid w:val="00383327"/>
    <w:rsid w:val="004D37DB"/>
    <w:rsid w:val="004D40C5"/>
    <w:rsid w:val="006412A8"/>
    <w:rsid w:val="006A393D"/>
    <w:rsid w:val="008F78A7"/>
    <w:rsid w:val="00B354D8"/>
    <w:rsid w:val="00BB68BD"/>
    <w:rsid w:val="00BE0604"/>
    <w:rsid w:val="00C15B33"/>
    <w:rsid w:val="00D22AFA"/>
    <w:rsid w:val="00D65210"/>
    <w:rsid w:val="00FC710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A9C0"/>
  <w15:chartTrackingRefBased/>
  <w15:docId w15:val="{6D0F2BA6-2C35-4DC9-B21D-36F4E589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210"/>
    <w:rPr>
      <w:rFonts w:eastAsiaTheme="majorEastAsia" w:cstheme="majorBidi"/>
      <w:color w:val="272727" w:themeColor="text1" w:themeTint="D8"/>
    </w:rPr>
  </w:style>
  <w:style w:type="paragraph" w:styleId="Title">
    <w:name w:val="Title"/>
    <w:basedOn w:val="Normal"/>
    <w:next w:val="Normal"/>
    <w:link w:val="TitleChar"/>
    <w:uiPriority w:val="10"/>
    <w:qFormat/>
    <w:rsid w:val="00D65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210"/>
    <w:pPr>
      <w:spacing w:before="160"/>
      <w:jc w:val="center"/>
    </w:pPr>
    <w:rPr>
      <w:i/>
      <w:iCs/>
      <w:color w:val="404040" w:themeColor="text1" w:themeTint="BF"/>
    </w:rPr>
  </w:style>
  <w:style w:type="character" w:customStyle="1" w:styleId="QuoteChar">
    <w:name w:val="Quote Char"/>
    <w:basedOn w:val="DefaultParagraphFont"/>
    <w:link w:val="Quote"/>
    <w:uiPriority w:val="29"/>
    <w:rsid w:val="00D65210"/>
    <w:rPr>
      <w:i/>
      <w:iCs/>
      <w:color w:val="404040" w:themeColor="text1" w:themeTint="BF"/>
    </w:rPr>
  </w:style>
  <w:style w:type="paragraph" w:styleId="ListParagraph">
    <w:name w:val="List Paragraph"/>
    <w:basedOn w:val="Normal"/>
    <w:uiPriority w:val="34"/>
    <w:qFormat/>
    <w:rsid w:val="00D65210"/>
    <w:pPr>
      <w:ind w:left="720"/>
      <w:contextualSpacing/>
    </w:pPr>
  </w:style>
  <w:style w:type="character" w:styleId="IntenseEmphasis">
    <w:name w:val="Intense Emphasis"/>
    <w:basedOn w:val="DefaultParagraphFont"/>
    <w:uiPriority w:val="21"/>
    <w:qFormat/>
    <w:rsid w:val="00D65210"/>
    <w:rPr>
      <w:i/>
      <w:iCs/>
      <w:color w:val="2F5496" w:themeColor="accent1" w:themeShade="BF"/>
    </w:rPr>
  </w:style>
  <w:style w:type="paragraph" w:styleId="IntenseQuote">
    <w:name w:val="Intense Quote"/>
    <w:basedOn w:val="Normal"/>
    <w:next w:val="Normal"/>
    <w:link w:val="IntenseQuoteChar"/>
    <w:uiPriority w:val="30"/>
    <w:qFormat/>
    <w:rsid w:val="00D65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210"/>
    <w:rPr>
      <w:i/>
      <w:iCs/>
      <w:color w:val="2F5496" w:themeColor="accent1" w:themeShade="BF"/>
    </w:rPr>
  </w:style>
  <w:style w:type="character" w:styleId="IntenseReference">
    <w:name w:val="Intense Reference"/>
    <w:basedOn w:val="DefaultParagraphFont"/>
    <w:uiPriority w:val="32"/>
    <w:qFormat/>
    <w:rsid w:val="00D65210"/>
    <w:rPr>
      <w:b/>
      <w:bCs/>
      <w:smallCaps/>
      <w:color w:val="2F5496" w:themeColor="accent1" w:themeShade="BF"/>
      <w:spacing w:val="5"/>
    </w:rPr>
  </w:style>
  <w:style w:type="character" w:styleId="Hyperlink">
    <w:name w:val="Hyperlink"/>
    <w:basedOn w:val="DefaultParagraphFont"/>
    <w:uiPriority w:val="99"/>
    <w:unhideWhenUsed/>
    <w:rsid w:val="00D65210"/>
    <w:rPr>
      <w:color w:val="0563C1" w:themeColor="hyperlink"/>
      <w:u w:val="single"/>
    </w:rPr>
  </w:style>
  <w:style w:type="character" w:styleId="UnresolvedMention">
    <w:name w:val="Unresolved Mention"/>
    <w:basedOn w:val="DefaultParagraphFont"/>
    <w:uiPriority w:val="99"/>
    <w:semiHidden/>
    <w:unhideWhenUsed/>
    <w:rsid w:val="00D65210"/>
    <w:rPr>
      <w:color w:val="605E5C"/>
      <w:shd w:val="clear" w:color="auto" w:fill="E1DFDD"/>
    </w:rPr>
  </w:style>
  <w:style w:type="character" w:styleId="PlaceholderText">
    <w:name w:val="Placeholder Text"/>
    <w:basedOn w:val="DefaultParagraphFont"/>
    <w:uiPriority w:val="99"/>
    <w:semiHidden/>
    <w:rsid w:val="003833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96884">
      <w:bodyDiv w:val="1"/>
      <w:marLeft w:val="0"/>
      <w:marRight w:val="0"/>
      <w:marTop w:val="0"/>
      <w:marBottom w:val="0"/>
      <w:divBdr>
        <w:top w:val="none" w:sz="0" w:space="0" w:color="auto"/>
        <w:left w:val="none" w:sz="0" w:space="0" w:color="auto"/>
        <w:bottom w:val="none" w:sz="0" w:space="0" w:color="auto"/>
        <w:right w:val="none" w:sz="0" w:space="0" w:color="auto"/>
      </w:divBdr>
    </w:div>
    <w:div w:id="940836217">
      <w:bodyDiv w:val="1"/>
      <w:marLeft w:val="0"/>
      <w:marRight w:val="0"/>
      <w:marTop w:val="0"/>
      <w:marBottom w:val="0"/>
      <w:divBdr>
        <w:top w:val="none" w:sz="0" w:space="0" w:color="auto"/>
        <w:left w:val="none" w:sz="0" w:space="0" w:color="auto"/>
        <w:bottom w:val="none" w:sz="0" w:space="0" w:color="auto"/>
        <w:right w:val="none" w:sz="0" w:space="0" w:color="auto"/>
      </w:divBdr>
    </w:div>
    <w:div w:id="1620793953">
      <w:bodyDiv w:val="1"/>
      <w:marLeft w:val="0"/>
      <w:marRight w:val="0"/>
      <w:marTop w:val="0"/>
      <w:marBottom w:val="0"/>
      <w:divBdr>
        <w:top w:val="none" w:sz="0" w:space="0" w:color="auto"/>
        <w:left w:val="none" w:sz="0" w:space="0" w:color="auto"/>
        <w:bottom w:val="none" w:sz="0" w:space="0" w:color="auto"/>
        <w:right w:val="none" w:sz="0" w:space="0" w:color="auto"/>
      </w:divBdr>
    </w:div>
    <w:div w:id="20904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circulating-tumor-cell-market" TargetMode="External"/><Relationship Id="rId5" Type="http://schemas.openxmlformats.org/officeDocument/2006/relationships/hyperlink" Target="https://www.skyquestt.com/sample-request/circulating-tumor-cell-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2025-07-10T18:48:00Z</dcterms:created>
  <dcterms:modified xsi:type="dcterms:W3CDTF">2025-07-10T18:49:00Z</dcterms:modified>
</cp:coreProperties>
</file>