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978E7" w14:textId="3AA86564" w:rsidR="0086543B" w:rsidRPr="0086543B" w:rsidRDefault="0086543B" w:rsidP="0086543B">
      <w:pPr>
        <w:rPr>
          <w:b/>
          <w:bCs/>
        </w:rPr>
      </w:pPr>
      <w:proofErr w:type="spellStart"/>
      <w:proofErr w:type="gramStart"/>
      <w:r w:rsidRPr="0086543B">
        <w:rPr>
          <w:b/>
          <w:bCs/>
        </w:rPr>
        <w:t>油田機器市場:動向</w:t>
      </w:r>
      <w:proofErr w:type="gramEnd"/>
      <w:r w:rsidRPr="0086543B">
        <w:rPr>
          <w:b/>
          <w:bCs/>
        </w:rPr>
        <w:t>、ドライバ</w:t>
      </w:r>
      <w:proofErr w:type="spellEnd"/>
      <w:r w:rsidRPr="0086543B">
        <w:rPr>
          <w:b/>
          <w:bCs/>
        </w:rPr>
        <w:t>ー、</w:t>
      </w:r>
      <w:proofErr w:type="spellStart"/>
      <w:r w:rsidRPr="0086543B">
        <w:rPr>
          <w:b/>
          <w:bCs/>
        </w:rPr>
        <w:t>将来の見通し</w:t>
      </w:r>
      <w:proofErr w:type="spellEnd"/>
    </w:p>
    <w:p w14:paraId="0EC638FD" w14:textId="19DA22ED" w:rsidR="0086543B" w:rsidRDefault="0086543B" w:rsidP="0086543B">
      <w:r w:rsidRPr="0086543B">
        <w:t>世界の油田機器市場は、アジアやラテンアメリカなどの地域からの需要の増加と、オフショアおよびオンショアでの掘削活動の増加によって推進されると予想されます。これは、石油およびガス井の発見、その後の抽出または生産、および最終的な精製プロセスに主に必要とされる一連の機器供給および関連サービスを表しているため、ダイナミックで非常に重要なグローバルエネルギー産業セクターです。</w:t>
      </w:r>
    </w:p>
    <w:p w14:paraId="4E7A7576" w14:textId="77777777" w:rsidR="0086543B" w:rsidRPr="0086543B" w:rsidRDefault="0086543B" w:rsidP="0086543B">
      <w:pPr>
        <w:rPr>
          <w:b/>
          <w:bCs/>
        </w:rPr>
      </w:pPr>
      <w:r w:rsidRPr="0086543B">
        <w:rPr>
          <w:b/>
          <w:bCs/>
        </w:rPr>
        <w:t>油田設備の市場規模は2023年に1,283億1,000万米ドルと評価され、2024年の1,321億6,000万米ドルから2032年までに1,674億2,000万米ドルに成長し、予測期間(2025年から2032年)の間に3.0%のCAGRで成長する態勢を整えています。</w:t>
      </w:r>
    </w:p>
    <w:p w14:paraId="5ACA9394" w14:textId="362E9192" w:rsidR="0086543B" w:rsidRPr="0086543B" w:rsidRDefault="0086543B" w:rsidP="0086543B">
      <w:r>
        <w:t xml:space="preserve">無料サンプルレポートを入手: </w:t>
      </w:r>
      <w:hyperlink r:id="rId5" w:history="1">
        <w:r w:rsidRPr="006E5AC5">
          <w:rPr>
            <w:rStyle w:val="Hyperlink"/>
          </w:rPr>
          <w:t>https://www.skyquestt.com/sample-request/oilfield-equipment-market</w:t>
        </w:r>
      </w:hyperlink>
      <w:r>
        <w:t xml:space="preserve"> </w:t>
      </w:r>
    </w:p>
    <w:p w14:paraId="6584F635" w14:textId="77777777" w:rsidR="0086543B" w:rsidRPr="0086543B" w:rsidRDefault="0086543B" w:rsidP="0086543B">
      <w:pPr>
        <w:rPr>
          <w:b/>
          <w:bCs/>
        </w:rPr>
      </w:pPr>
      <w:r w:rsidRPr="0086543B">
        <w:rPr>
          <w:b/>
          <w:bCs/>
        </w:rPr>
        <w:t>市場セグメンテーション</w:t>
      </w:r>
    </w:p>
    <w:p w14:paraId="38E64737" w14:textId="77777777" w:rsidR="0086543B" w:rsidRPr="0086543B" w:rsidRDefault="0086543B" w:rsidP="0086543B">
      <w:r w:rsidRPr="0086543B">
        <w:rPr>
          <w:b/>
          <w:bCs/>
        </w:rPr>
        <w:t>タイプ別:</w:t>
      </w:r>
    </w:p>
    <w:p w14:paraId="7546DB66" w14:textId="77777777" w:rsidR="0086543B" w:rsidRPr="0086543B" w:rsidRDefault="0086543B" w:rsidP="0086543B">
      <w:pPr>
        <w:numPr>
          <w:ilvl w:val="0"/>
          <w:numId w:val="1"/>
        </w:numPr>
      </w:pPr>
      <w:r w:rsidRPr="0086543B">
        <w:rPr>
          <w:b/>
          <w:bCs/>
        </w:rPr>
        <w:t>掘削装置</w:t>
      </w:r>
      <w:r w:rsidRPr="0086543B">
        <w:t>:これは、資源の発見において基本的な役割を果たすため、依然として最大かつ最も重要なセグメントです。</w:t>
      </w:r>
    </w:p>
    <w:p w14:paraId="3A5BD0C4" w14:textId="77777777" w:rsidR="0086543B" w:rsidRPr="0086543B" w:rsidRDefault="0086543B" w:rsidP="0086543B">
      <w:pPr>
        <w:numPr>
          <w:ilvl w:val="0"/>
          <w:numId w:val="1"/>
        </w:numPr>
      </w:pPr>
      <w:r w:rsidRPr="0086543B">
        <w:rPr>
          <w:b/>
          <w:bCs/>
        </w:rPr>
        <w:t>現場生産機械、ポンプ、バルブ、その他</w:t>
      </w:r>
      <w:r w:rsidRPr="0086543B">
        <w:t>:これらのセグメントは、石油採掘ライフサイクル全体を通じて運用効率と生産性を維持するために不可欠です。</w:t>
      </w:r>
    </w:p>
    <w:p w14:paraId="6F64BAA7" w14:textId="77777777" w:rsidR="0086543B" w:rsidRPr="0086543B" w:rsidRDefault="0086543B" w:rsidP="0086543B">
      <w:r w:rsidRPr="0086543B">
        <w:rPr>
          <w:b/>
          <w:bCs/>
        </w:rPr>
        <w:t>アプリケーション別:</w:t>
      </w:r>
    </w:p>
    <w:p w14:paraId="06599581" w14:textId="77777777" w:rsidR="0086543B" w:rsidRPr="0086543B" w:rsidRDefault="0086543B" w:rsidP="0086543B">
      <w:pPr>
        <w:numPr>
          <w:ilvl w:val="0"/>
          <w:numId w:val="2"/>
        </w:numPr>
      </w:pPr>
      <w:r w:rsidRPr="0086543B">
        <w:rPr>
          <w:b/>
          <w:bCs/>
        </w:rPr>
        <w:t>オンショア</w:t>
      </w:r>
      <w:r w:rsidRPr="0086543B">
        <w:t>:運用コストが低く、アクセスが容易なため、市場を支配しており、迅速な展開に適しています。</w:t>
      </w:r>
    </w:p>
    <w:p w14:paraId="35C91AA7" w14:textId="77777777" w:rsidR="0086543B" w:rsidRPr="0086543B" w:rsidRDefault="0086543B" w:rsidP="0086543B">
      <w:pPr>
        <w:numPr>
          <w:ilvl w:val="0"/>
          <w:numId w:val="2"/>
        </w:numPr>
      </w:pPr>
      <w:r w:rsidRPr="0086543B">
        <w:rPr>
          <w:b/>
          <w:bCs/>
        </w:rPr>
        <w:t>オフショア</w:t>
      </w:r>
      <w:r w:rsidRPr="0086543B">
        <w:t>:技術的な課題とコストの上昇にもかかわらず、特に深海および超深海探査への投資が増加しています。</w:t>
      </w:r>
    </w:p>
    <w:p w14:paraId="7F10599F" w14:textId="77777777" w:rsidR="0086543B" w:rsidRPr="0086543B" w:rsidRDefault="0086543B" w:rsidP="0086543B">
      <w:r w:rsidRPr="0086543B">
        <w:rPr>
          <w:b/>
          <w:bCs/>
        </w:rPr>
        <w:t>地域別:</w:t>
      </w:r>
    </w:p>
    <w:p w14:paraId="314B2A9D" w14:textId="77777777" w:rsidR="0086543B" w:rsidRPr="0086543B" w:rsidRDefault="0086543B" w:rsidP="0086543B">
      <w:pPr>
        <w:numPr>
          <w:ilvl w:val="0"/>
          <w:numId w:val="3"/>
        </w:numPr>
      </w:pPr>
      <w:r w:rsidRPr="0086543B">
        <w:rPr>
          <w:b/>
          <w:bCs/>
        </w:rPr>
        <w:t>北米</w:t>
      </w:r>
      <w:r w:rsidRPr="0086543B">
        <w:t>:シェール開発、有利な掘削政策、確立されたインフラストラクチャに支えられ、最大の市場シェアを保持しています。</w:t>
      </w:r>
    </w:p>
    <w:p w14:paraId="2BAE9AA2" w14:textId="77777777" w:rsidR="0086543B" w:rsidRPr="0086543B" w:rsidRDefault="0086543B" w:rsidP="0086543B">
      <w:pPr>
        <w:numPr>
          <w:ilvl w:val="0"/>
          <w:numId w:val="3"/>
        </w:numPr>
      </w:pPr>
      <w:r w:rsidRPr="0086543B">
        <w:rPr>
          <w:b/>
          <w:bCs/>
        </w:rPr>
        <w:t>アジア太平洋地域</w:t>
      </w:r>
      <w:r w:rsidRPr="0086543B">
        <w:t>:中国やインドなどの国々でエネルギー需要が増加しているため、最も高い成長率を記録すると予想されています。</w:t>
      </w:r>
    </w:p>
    <w:p w14:paraId="646F0B45" w14:textId="77777777" w:rsidR="0086543B" w:rsidRPr="0086543B" w:rsidRDefault="0086543B" w:rsidP="0086543B">
      <w:pPr>
        <w:numPr>
          <w:ilvl w:val="0"/>
          <w:numId w:val="3"/>
        </w:numPr>
      </w:pPr>
      <w:r w:rsidRPr="0086543B">
        <w:rPr>
          <w:b/>
          <w:bCs/>
        </w:rPr>
        <w:t>ヨーロッパ、中東・アフリカ、ラテンアメリカ</w:t>
      </w:r>
      <w:r w:rsidRPr="0086543B">
        <w:t>:これらの地域は、オフショア探査と中流インフラの拡大に牽引され、大幅な成長に貢献しています。</w:t>
      </w:r>
    </w:p>
    <w:p w14:paraId="13104EC7" w14:textId="77777777" w:rsidR="0086543B" w:rsidRPr="0086543B" w:rsidRDefault="00927B45" w:rsidP="0086543B">
      <w:r>
        <w:lastRenderedPageBreak/>
        <w:pict w14:anchorId="26FF175F">
          <v:rect id="_x0000_i1025" style="width:0;height:1.5pt" o:hralign="center" o:hrstd="t" o:hr="t" fillcolor="#a0a0a0" stroked="f"/>
        </w:pict>
      </w:r>
    </w:p>
    <w:p w14:paraId="73AAF3AB" w14:textId="77777777" w:rsidR="0086543B" w:rsidRPr="0086543B" w:rsidRDefault="0086543B" w:rsidP="0086543B">
      <w:pPr>
        <w:rPr>
          <w:b/>
          <w:bCs/>
        </w:rPr>
      </w:pPr>
      <w:r w:rsidRPr="0086543B">
        <w:rPr>
          <w:b/>
          <w:bCs/>
        </w:rPr>
        <w:t>主な市場促進要因</w:t>
      </w:r>
    </w:p>
    <w:p w14:paraId="0052DCFD" w14:textId="77777777" w:rsidR="0086543B" w:rsidRPr="0086543B" w:rsidRDefault="0086543B" w:rsidP="0086543B">
      <w:pPr>
        <w:numPr>
          <w:ilvl w:val="0"/>
          <w:numId w:val="4"/>
        </w:numPr>
      </w:pPr>
      <w:r w:rsidRPr="0086543B">
        <w:rPr>
          <w:b/>
          <w:bCs/>
        </w:rPr>
        <w:t>世界的なエネルギー需要の高まり急速な工業化と都市化により、世界のエネルギー消費が促進されており、国営および民間の石油会社の両方が探査および生産活動を後押ししています。</w:t>
      </w:r>
    </w:p>
    <w:p w14:paraId="05F47EC0" w14:textId="77777777" w:rsidR="0086543B" w:rsidRPr="0086543B" w:rsidRDefault="0086543B" w:rsidP="0086543B">
      <w:pPr>
        <w:numPr>
          <w:ilvl w:val="0"/>
          <w:numId w:val="4"/>
        </w:numPr>
      </w:pPr>
      <w:r w:rsidRPr="0086543B">
        <w:rPr>
          <w:b/>
          <w:bCs/>
        </w:rPr>
        <w:t>技術の進歩デジタルツール、自動化、人工知能(AI)、モノのインターネット(IoT)の統合により、精度、安全性、生産性を向上させるスマート油田機器が開発されました。</w:t>
      </w:r>
    </w:p>
    <w:p w14:paraId="0FAF3F01" w14:textId="77777777" w:rsidR="0086543B" w:rsidRPr="0086543B" w:rsidRDefault="0086543B" w:rsidP="0086543B">
      <w:pPr>
        <w:numPr>
          <w:ilvl w:val="0"/>
          <w:numId w:val="4"/>
        </w:numPr>
      </w:pPr>
      <w:r w:rsidRPr="0086543B">
        <w:rPr>
          <w:b/>
          <w:bCs/>
        </w:rPr>
        <w:t>オフショア探査の拡大陸上埋蔵量の減少と深海探査の増加により、オフショア探査への投資が増加し、その結果、特殊な油田機器の需要が高まっています。</w:t>
      </w:r>
    </w:p>
    <w:p w14:paraId="5110D480" w14:textId="77777777" w:rsidR="0086543B" w:rsidRPr="0086543B" w:rsidRDefault="00927B45" w:rsidP="0086543B">
      <w:r>
        <w:pict w14:anchorId="23306ECE">
          <v:rect id="_x0000_i1026" style="width:0;height:1.5pt" o:hralign="center" o:hrstd="t" o:hr="t" fillcolor="#a0a0a0" stroked="f"/>
        </w:pict>
      </w:r>
    </w:p>
    <w:p w14:paraId="0DB522EF" w14:textId="77777777" w:rsidR="0086543B" w:rsidRPr="0086543B" w:rsidRDefault="0086543B" w:rsidP="0086543B">
      <w:pPr>
        <w:rPr>
          <w:b/>
          <w:bCs/>
        </w:rPr>
      </w:pPr>
      <w:r w:rsidRPr="0086543B">
        <w:rPr>
          <w:b/>
          <w:bCs/>
        </w:rPr>
        <w:t>市場の課題</w:t>
      </w:r>
    </w:p>
    <w:p w14:paraId="7909E052" w14:textId="77777777" w:rsidR="0086543B" w:rsidRPr="0086543B" w:rsidRDefault="0086543B" w:rsidP="0086543B">
      <w:pPr>
        <w:numPr>
          <w:ilvl w:val="0"/>
          <w:numId w:val="5"/>
        </w:numPr>
      </w:pPr>
      <w:r w:rsidRPr="0086543B">
        <w:rPr>
          <w:b/>
          <w:bCs/>
        </w:rPr>
        <w:t>原油価格の変動は、油田プロジェクトの設備投資に影響を与え、設備需要の不確実性につながります。</w:t>
      </w:r>
    </w:p>
    <w:p w14:paraId="0AEF9E28" w14:textId="77777777" w:rsidR="0086543B" w:rsidRPr="0086543B" w:rsidRDefault="0086543B" w:rsidP="0086543B">
      <w:pPr>
        <w:numPr>
          <w:ilvl w:val="0"/>
          <w:numId w:val="5"/>
        </w:numPr>
      </w:pPr>
      <w:r w:rsidRPr="0086543B">
        <w:rPr>
          <w:b/>
          <w:bCs/>
        </w:rPr>
        <w:t>環境と規制の圧力厳しい排出規制と持続可能性の義務により、よりクリーンで効率的な機器の必要性が高まっている一方で、コンプライアンスコストも増加しています。</w:t>
      </w:r>
    </w:p>
    <w:p w14:paraId="25931B75" w14:textId="77777777" w:rsidR="0086543B" w:rsidRPr="0086543B" w:rsidRDefault="0086543B" w:rsidP="0086543B">
      <w:pPr>
        <w:numPr>
          <w:ilvl w:val="0"/>
          <w:numId w:val="5"/>
        </w:numPr>
      </w:pPr>
      <w:r w:rsidRPr="0086543B">
        <w:rPr>
          <w:b/>
          <w:bCs/>
        </w:rPr>
        <w:t>サプライチェーンの混乱世界的な製造の遅延、出荷のボトルネック、地政学的な不安定性は、機器の可用性とプロジェクトのスケジュールに悪影響を与える可能性があります。</w:t>
      </w:r>
    </w:p>
    <w:p w14:paraId="17911074" w14:textId="77777777" w:rsidR="0086543B" w:rsidRPr="0086543B" w:rsidRDefault="00927B45" w:rsidP="0086543B">
      <w:r>
        <w:pict w14:anchorId="14179FC4">
          <v:rect id="_x0000_i1027" style="width:0;height:1.5pt" o:hralign="center" o:hrstd="t" o:hr="t" fillcolor="#a0a0a0" stroked="f"/>
        </w:pict>
      </w:r>
    </w:p>
    <w:p w14:paraId="3330E76A" w14:textId="77777777" w:rsidR="0086543B" w:rsidRPr="0086543B" w:rsidRDefault="0086543B" w:rsidP="0086543B">
      <w:pPr>
        <w:rPr>
          <w:b/>
          <w:bCs/>
        </w:rPr>
      </w:pPr>
      <w:r w:rsidRPr="0086543B">
        <w:rPr>
          <w:b/>
          <w:bCs/>
        </w:rPr>
        <w:t>新たなトレンド</w:t>
      </w:r>
    </w:p>
    <w:p w14:paraId="762AACF7" w14:textId="77777777" w:rsidR="0086543B" w:rsidRPr="0086543B" w:rsidRDefault="0086543B" w:rsidP="0086543B">
      <w:pPr>
        <w:numPr>
          <w:ilvl w:val="0"/>
          <w:numId w:val="6"/>
        </w:numPr>
      </w:pPr>
      <w:r w:rsidRPr="0086543B">
        <w:rPr>
          <w:b/>
          <w:bCs/>
        </w:rPr>
        <w:t>デジタル油田オペレーターは、意思決定を改善し、ダウンタイムを削減するために、リモート監視、予知保全、およびSCADAシステムの導入が進んでいます。</w:t>
      </w:r>
    </w:p>
    <w:p w14:paraId="5E3A694E" w14:textId="77777777" w:rsidR="0086543B" w:rsidRPr="0086543B" w:rsidRDefault="0086543B" w:rsidP="0086543B">
      <w:pPr>
        <w:numPr>
          <w:ilvl w:val="0"/>
          <w:numId w:val="6"/>
        </w:numPr>
      </w:pPr>
      <w:r w:rsidRPr="0086543B">
        <w:rPr>
          <w:b/>
          <w:bCs/>
        </w:rPr>
        <w:t>エネルギー移行の統合一部の石油会社は、再生可能エネルギーソリューションをオフショアプラットフォームに統合し始めており、エネルギー効率を改善し、二酸化炭素排出量を削減しています。</w:t>
      </w:r>
    </w:p>
    <w:p w14:paraId="0979676C" w14:textId="323E099F" w:rsidR="0086543B" w:rsidRPr="0086543B" w:rsidRDefault="0086543B" w:rsidP="0086543B">
      <w:pPr>
        <w:numPr>
          <w:ilvl w:val="0"/>
          <w:numId w:val="6"/>
        </w:numPr>
      </w:pPr>
      <w:r w:rsidRPr="0086543B">
        <w:rPr>
          <w:b/>
          <w:bCs/>
        </w:rPr>
        <w:t>サイバーセキュリティへの注力自動化とデジタル化が進むにつれ、油田インフラをサイバー脅威から保護することが重要な優先事項になりつつあります。</w:t>
      </w:r>
    </w:p>
    <w:p w14:paraId="11813FEE" w14:textId="77777777" w:rsidR="0086543B" w:rsidRPr="0086543B" w:rsidRDefault="0086543B" w:rsidP="0086543B">
      <w:pPr>
        <w:rPr>
          <w:b/>
          <w:bCs/>
        </w:rPr>
      </w:pPr>
      <w:r w:rsidRPr="0086543B">
        <w:rPr>
          <w:b/>
          <w:bCs/>
        </w:rPr>
        <w:lastRenderedPageBreak/>
        <w:t>競合環境</w:t>
      </w:r>
    </w:p>
    <w:p w14:paraId="267E3F95" w14:textId="77777777" w:rsidR="0086543B" w:rsidRPr="0086543B" w:rsidRDefault="0086543B" w:rsidP="0086543B">
      <w:r w:rsidRPr="0086543B">
        <w:t>油田機器市場は非常に競争が激しく、次のような主要なグローバルプレーヤーが含まれています。</w:t>
      </w:r>
    </w:p>
    <w:p w14:paraId="5459EF36" w14:textId="77777777" w:rsidR="0086543B" w:rsidRPr="0086543B" w:rsidRDefault="0086543B" w:rsidP="0086543B">
      <w:pPr>
        <w:numPr>
          <w:ilvl w:val="0"/>
          <w:numId w:val="7"/>
        </w:numPr>
      </w:pPr>
      <w:r w:rsidRPr="0086543B">
        <w:t>シュルンベルジェ</w:t>
      </w:r>
    </w:p>
    <w:p w14:paraId="193AD608" w14:textId="77777777" w:rsidR="0086543B" w:rsidRPr="0086543B" w:rsidRDefault="0086543B" w:rsidP="0086543B">
      <w:pPr>
        <w:numPr>
          <w:ilvl w:val="0"/>
          <w:numId w:val="7"/>
        </w:numPr>
      </w:pPr>
      <w:r w:rsidRPr="0086543B">
        <w:t>ベイカー・ヒューズ</w:t>
      </w:r>
    </w:p>
    <w:p w14:paraId="01319FD1" w14:textId="77777777" w:rsidR="0086543B" w:rsidRPr="0086543B" w:rsidRDefault="0086543B" w:rsidP="0086543B">
      <w:pPr>
        <w:numPr>
          <w:ilvl w:val="0"/>
          <w:numId w:val="7"/>
        </w:numPr>
      </w:pPr>
      <w:r w:rsidRPr="0086543B">
        <w:t>ハリバートン</w:t>
      </w:r>
    </w:p>
    <w:p w14:paraId="67CCBD29" w14:textId="77777777" w:rsidR="0086543B" w:rsidRPr="0086543B" w:rsidRDefault="0086543B" w:rsidP="0086543B">
      <w:pPr>
        <w:numPr>
          <w:ilvl w:val="0"/>
          <w:numId w:val="7"/>
        </w:numPr>
      </w:pPr>
      <w:r w:rsidRPr="0086543B">
        <w:t>ウェザーフォード</w:t>
      </w:r>
    </w:p>
    <w:p w14:paraId="3481BC7E" w14:textId="77777777" w:rsidR="0086543B" w:rsidRPr="0086543B" w:rsidRDefault="0086543B" w:rsidP="0086543B">
      <w:pPr>
        <w:numPr>
          <w:ilvl w:val="0"/>
          <w:numId w:val="7"/>
        </w:numPr>
      </w:pPr>
      <w:r w:rsidRPr="0086543B">
        <w:t>ナショナル・オイルウェル・バルコ (NOV)</w:t>
      </w:r>
    </w:p>
    <w:p w14:paraId="7028F09B" w14:textId="77777777" w:rsidR="0086543B" w:rsidRPr="0086543B" w:rsidRDefault="0086543B" w:rsidP="0086543B">
      <w:pPr>
        <w:numPr>
          <w:ilvl w:val="0"/>
          <w:numId w:val="7"/>
        </w:numPr>
      </w:pPr>
      <w:r w:rsidRPr="0086543B">
        <w:t>テクニップFMC</w:t>
      </w:r>
    </w:p>
    <w:p w14:paraId="6DA36B68" w14:textId="77777777" w:rsidR="0086543B" w:rsidRPr="0086543B" w:rsidRDefault="0086543B" w:rsidP="0086543B">
      <w:pPr>
        <w:numPr>
          <w:ilvl w:val="0"/>
          <w:numId w:val="7"/>
        </w:numPr>
      </w:pPr>
      <w:r w:rsidRPr="0086543B">
        <w:t>サイペム</w:t>
      </w:r>
    </w:p>
    <w:p w14:paraId="315C73C9" w14:textId="77777777" w:rsidR="0086543B" w:rsidRPr="0086543B" w:rsidRDefault="0086543B" w:rsidP="0086543B">
      <w:pPr>
        <w:numPr>
          <w:ilvl w:val="0"/>
          <w:numId w:val="7"/>
        </w:numPr>
      </w:pPr>
      <w:r w:rsidRPr="0086543B">
        <w:t>Akerソリューション</w:t>
      </w:r>
    </w:p>
    <w:p w14:paraId="42D2BB5D" w14:textId="77777777" w:rsidR="0086543B" w:rsidRPr="0086543B" w:rsidRDefault="0086543B" w:rsidP="0086543B">
      <w:pPr>
        <w:numPr>
          <w:ilvl w:val="0"/>
          <w:numId w:val="7"/>
        </w:numPr>
      </w:pPr>
      <w:r w:rsidRPr="0086543B">
        <w:t>ペトロファック</w:t>
      </w:r>
    </w:p>
    <w:p w14:paraId="296AB45B" w14:textId="77777777" w:rsidR="0086543B" w:rsidRPr="0086543B" w:rsidRDefault="0086543B" w:rsidP="0086543B">
      <w:pPr>
        <w:numPr>
          <w:ilvl w:val="0"/>
          <w:numId w:val="7"/>
        </w:numPr>
      </w:pPr>
      <w:r w:rsidRPr="0086543B">
        <w:t>シノペック</w:t>
      </w:r>
    </w:p>
    <w:p w14:paraId="7D95CB2A" w14:textId="77777777" w:rsidR="0086543B" w:rsidRPr="0086543B" w:rsidRDefault="0086543B" w:rsidP="0086543B">
      <w:pPr>
        <w:numPr>
          <w:ilvl w:val="0"/>
          <w:numId w:val="7"/>
        </w:numPr>
      </w:pPr>
      <w:r w:rsidRPr="0086543B">
        <w:t>チャイナ・オイルフィールド・サービス・リミテッド (COSL)</w:t>
      </w:r>
    </w:p>
    <w:p w14:paraId="76A00EBA" w14:textId="77777777" w:rsidR="0086543B" w:rsidRPr="0086543B" w:rsidRDefault="0086543B" w:rsidP="0086543B">
      <w:pPr>
        <w:numPr>
          <w:ilvl w:val="0"/>
          <w:numId w:val="7"/>
        </w:numPr>
      </w:pPr>
      <w:r w:rsidRPr="0086543B">
        <w:t>マクダーモット</w:t>
      </w:r>
    </w:p>
    <w:p w14:paraId="7561FB2A" w14:textId="77777777" w:rsidR="0086543B" w:rsidRPr="0086543B" w:rsidRDefault="0086543B" w:rsidP="0086543B">
      <w:pPr>
        <w:numPr>
          <w:ilvl w:val="0"/>
          <w:numId w:val="7"/>
        </w:numPr>
      </w:pPr>
      <w:r w:rsidRPr="0086543B">
        <w:t>海洋性</w:t>
      </w:r>
    </w:p>
    <w:p w14:paraId="4AED755D" w14:textId="77777777" w:rsidR="0086543B" w:rsidRPr="0086543B" w:rsidRDefault="0086543B" w:rsidP="0086543B">
      <w:pPr>
        <w:numPr>
          <w:ilvl w:val="0"/>
          <w:numId w:val="7"/>
        </w:numPr>
      </w:pPr>
      <w:r w:rsidRPr="0086543B">
        <w:t>ネイバーズ・インダストリーズ</w:t>
      </w:r>
    </w:p>
    <w:p w14:paraId="12BC5B69" w14:textId="77777777" w:rsidR="0086543B" w:rsidRPr="0086543B" w:rsidRDefault="0086543B" w:rsidP="0086543B">
      <w:pPr>
        <w:numPr>
          <w:ilvl w:val="0"/>
          <w:numId w:val="7"/>
        </w:numPr>
      </w:pPr>
      <w:r w:rsidRPr="0086543B">
        <w:t>テナリス</w:t>
      </w:r>
    </w:p>
    <w:p w14:paraId="5F0B90D4" w14:textId="77777777" w:rsidR="0086543B" w:rsidRPr="0086543B" w:rsidRDefault="0086543B" w:rsidP="0086543B">
      <w:pPr>
        <w:numPr>
          <w:ilvl w:val="0"/>
          <w:numId w:val="7"/>
        </w:numPr>
      </w:pPr>
      <w:r w:rsidRPr="0086543B">
        <w:t>サブシー7</w:t>
      </w:r>
    </w:p>
    <w:p w14:paraId="59BFEC02" w14:textId="77777777" w:rsidR="0086543B" w:rsidRPr="0086543B" w:rsidRDefault="0086543B" w:rsidP="0086543B">
      <w:pPr>
        <w:numPr>
          <w:ilvl w:val="0"/>
          <w:numId w:val="7"/>
        </w:numPr>
      </w:pPr>
      <w:r w:rsidRPr="0086543B">
        <w:t>キャメロン</w:t>
      </w:r>
    </w:p>
    <w:p w14:paraId="32CDDE25" w14:textId="77777777" w:rsidR="0086543B" w:rsidRPr="0086543B" w:rsidRDefault="0086543B" w:rsidP="0086543B">
      <w:pPr>
        <w:numPr>
          <w:ilvl w:val="0"/>
          <w:numId w:val="7"/>
        </w:numPr>
      </w:pPr>
      <w:r w:rsidRPr="0086543B">
        <w:t>射手</w:t>
      </w:r>
    </w:p>
    <w:p w14:paraId="1ED00DFB" w14:textId="77777777" w:rsidR="0086543B" w:rsidRPr="0086543B" w:rsidRDefault="0086543B" w:rsidP="0086543B">
      <w:pPr>
        <w:numPr>
          <w:ilvl w:val="0"/>
          <w:numId w:val="7"/>
        </w:numPr>
      </w:pPr>
      <w:r w:rsidRPr="0086543B">
        <w:t>ジョン・ウッド・グループ</w:t>
      </w:r>
    </w:p>
    <w:p w14:paraId="74207477" w14:textId="5211D149" w:rsidR="0086543B" w:rsidRPr="0086543B" w:rsidRDefault="0086543B" w:rsidP="0086543B">
      <w:r w:rsidRPr="0086543B">
        <w:t>これらの企業は、M&amp;A、地域拡大、技術革新などの戦略を追求し、市場での地位を強化しています。</w:t>
      </w:r>
    </w:p>
    <w:p w14:paraId="1C20FB4F" w14:textId="77777777" w:rsidR="0086543B" w:rsidRPr="0086543B" w:rsidRDefault="0086543B" w:rsidP="0086543B">
      <w:pPr>
        <w:rPr>
          <w:b/>
          <w:bCs/>
        </w:rPr>
      </w:pPr>
      <w:r w:rsidRPr="0086543B">
        <w:rPr>
          <w:b/>
          <w:bCs/>
        </w:rPr>
        <w:t>将来の見通しと機会</w:t>
      </w:r>
    </w:p>
    <w:p w14:paraId="3855C5C4" w14:textId="77777777" w:rsidR="0086543B" w:rsidRPr="0086543B" w:rsidRDefault="0086543B" w:rsidP="0086543B">
      <w:r w:rsidRPr="0086543B">
        <w:lastRenderedPageBreak/>
        <w:t>油田機器市場は、次の要因に支えられて、今後10年間で着実な成長を遂げると予想されています。</w:t>
      </w:r>
    </w:p>
    <w:p w14:paraId="4D90AF4B" w14:textId="77777777" w:rsidR="0086543B" w:rsidRPr="0086543B" w:rsidRDefault="0086543B" w:rsidP="0086543B">
      <w:pPr>
        <w:numPr>
          <w:ilvl w:val="0"/>
          <w:numId w:val="8"/>
        </w:numPr>
      </w:pPr>
      <w:r w:rsidRPr="0086543B">
        <w:t>エネルギー効率の高いモジュール式システムの需要</w:t>
      </w:r>
    </w:p>
    <w:p w14:paraId="42A1A7D6" w14:textId="77777777" w:rsidR="0086543B" w:rsidRPr="0086543B" w:rsidRDefault="0086543B" w:rsidP="0086543B">
      <w:pPr>
        <w:numPr>
          <w:ilvl w:val="0"/>
          <w:numId w:val="8"/>
        </w:numPr>
      </w:pPr>
      <w:r w:rsidRPr="0086543B">
        <w:t>自動化と予測分析の広範な採用</w:t>
      </w:r>
    </w:p>
    <w:p w14:paraId="4EB0A38B" w14:textId="77777777" w:rsidR="0086543B" w:rsidRPr="0086543B" w:rsidRDefault="0086543B" w:rsidP="0086543B">
      <w:pPr>
        <w:numPr>
          <w:ilvl w:val="0"/>
          <w:numId w:val="8"/>
        </w:numPr>
      </w:pPr>
      <w:r w:rsidRPr="0086543B">
        <w:t>代替燃料に対応した機器の開発とハイブリッド運転</w:t>
      </w:r>
    </w:p>
    <w:p w14:paraId="697EED6D" w14:textId="77777777" w:rsidR="0086543B" w:rsidRPr="0086543B" w:rsidRDefault="0086543B" w:rsidP="0086543B">
      <w:r w:rsidRPr="0086543B">
        <w:t>デジタル トランスフォーメーション、持続可能性、リモート対応機器に投資する事業者は、進化するエネルギー環境において成功するための最適な立場に立つことができます。</w:t>
      </w:r>
    </w:p>
    <w:p w14:paraId="0D19EAA3" w14:textId="625D919F" w:rsidR="004D40C5" w:rsidRDefault="0086543B">
      <w:r>
        <w:t xml:space="preserve">レポート全文を見る: </w:t>
      </w:r>
      <w:hyperlink r:id="rId6" w:history="1">
        <w:r w:rsidRPr="006E5AC5">
          <w:rPr>
            <w:rStyle w:val="Hyperlink"/>
          </w:rPr>
          <w:t>https://www.skyquestt.com/report/oilfield-equipment-market</w:t>
        </w:r>
      </w:hyperlink>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B76"/>
    <w:multiLevelType w:val="multilevel"/>
    <w:tmpl w:val="99A0F89A"/>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097D20AD"/>
    <w:multiLevelType w:val="multilevel"/>
    <w:tmpl w:val="6834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41445"/>
    <w:multiLevelType w:val="multilevel"/>
    <w:tmpl w:val="B286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C044A"/>
    <w:multiLevelType w:val="multilevel"/>
    <w:tmpl w:val="7186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171B6"/>
    <w:multiLevelType w:val="multilevel"/>
    <w:tmpl w:val="3FF8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D141ED"/>
    <w:multiLevelType w:val="multilevel"/>
    <w:tmpl w:val="B33E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2D7E38"/>
    <w:multiLevelType w:val="multilevel"/>
    <w:tmpl w:val="105E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5F7C88"/>
    <w:multiLevelType w:val="multilevel"/>
    <w:tmpl w:val="9004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587867">
    <w:abstractNumId w:val="6"/>
  </w:num>
  <w:num w:numId="2" w16cid:durableId="68964651">
    <w:abstractNumId w:val="7"/>
  </w:num>
  <w:num w:numId="3" w16cid:durableId="980959115">
    <w:abstractNumId w:val="2"/>
  </w:num>
  <w:num w:numId="4" w16cid:durableId="1551384953">
    <w:abstractNumId w:val="0"/>
  </w:num>
  <w:num w:numId="5" w16cid:durableId="282770">
    <w:abstractNumId w:val="5"/>
  </w:num>
  <w:num w:numId="6" w16cid:durableId="725183151">
    <w:abstractNumId w:val="3"/>
  </w:num>
  <w:num w:numId="7" w16cid:durableId="2089420485">
    <w:abstractNumId w:val="1"/>
  </w:num>
  <w:num w:numId="8" w16cid:durableId="570971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3B"/>
    <w:rsid w:val="001D01DB"/>
    <w:rsid w:val="00274CDA"/>
    <w:rsid w:val="004D40C5"/>
    <w:rsid w:val="00537CF1"/>
    <w:rsid w:val="0086543B"/>
    <w:rsid w:val="00927B45"/>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F685E8D"/>
  <w15:chartTrackingRefBased/>
  <w15:docId w15:val="{8C8975A6-7C82-4F30-9A9D-96617F67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4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54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4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4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4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4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4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4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4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4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43B"/>
    <w:rPr>
      <w:rFonts w:eastAsiaTheme="majorEastAsia" w:cstheme="majorBidi"/>
      <w:color w:val="272727" w:themeColor="text1" w:themeTint="D8"/>
    </w:rPr>
  </w:style>
  <w:style w:type="paragraph" w:styleId="Title">
    <w:name w:val="Title"/>
    <w:basedOn w:val="Normal"/>
    <w:next w:val="Normal"/>
    <w:link w:val="TitleChar"/>
    <w:uiPriority w:val="10"/>
    <w:qFormat/>
    <w:rsid w:val="00865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43B"/>
    <w:pPr>
      <w:spacing w:before="160"/>
      <w:jc w:val="center"/>
    </w:pPr>
    <w:rPr>
      <w:i/>
      <w:iCs/>
      <w:color w:val="404040" w:themeColor="text1" w:themeTint="BF"/>
    </w:rPr>
  </w:style>
  <w:style w:type="character" w:customStyle="1" w:styleId="QuoteChar">
    <w:name w:val="Quote Char"/>
    <w:basedOn w:val="DefaultParagraphFont"/>
    <w:link w:val="Quote"/>
    <w:uiPriority w:val="29"/>
    <w:rsid w:val="0086543B"/>
    <w:rPr>
      <w:i/>
      <w:iCs/>
      <w:color w:val="404040" w:themeColor="text1" w:themeTint="BF"/>
    </w:rPr>
  </w:style>
  <w:style w:type="paragraph" w:styleId="ListParagraph">
    <w:name w:val="List Paragraph"/>
    <w:basedOn w:val="Normal"/>
    <w:uiPriority w:val="34"/>
    <w:qFormat/>
    <w:rsid w:val="0086543B"/>
    <w:pPr>
      <w:ind w:left="720"/>
      <w:contextualSpacing/>
    </w:pPr>
  </w:style>
  <w:style w:type="character" w:styleId="IntenseEmphasis">
    <w:name w:val="Intense Emphasis"/>
    <w:basedOn w:val="DefaultParagraphFont"/>
    <w:uiPriority w:val="21"/>
    <w:qFormat/>
    <w:rsid w:val="0086543B"/>
    <w:rPr>
      <w:i/>
      <w:iCs/>
      <w:color w:val="2F5496" w:themeColor="accent1" w:themeShade="BF"/>
    </w:rPr>
  </w:style>
  <w:style w:type="paragraph" w:styleId="IntenseQuote">
    <w:name w:val="Intense Quote"/>
    <w:basedOn w:val="Normal"/>
    <w:next w:val="Normal"/>
    <w:link w:val="IntenseQuoteChar"/>
    <w:uiPriority w:val="30"/>
    <w:qFormat/>
    <w:rsid w:val="00865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43B"/>
    <w:rPr>
      <w:i/>
      <w:iCs/>
      <w:color w:val="2F5496" w:themeColor="accent1" w:themeShade="BF"/>
    </w:rPr>
  </w:style>
  <w:style w:type="character" w:styleId="IntenseReference">
    <w:name w:val="Intense Reference"/>
    <w:basedOn w:val="DefaultParagraphFont"/>
    <w:uiPriority w:val="32"/>
    <w:qFormat/>
    <w:rsid w:val="0086543B"/>
    <w:rPr>
      <w:b/>
      <w:bCs/>
      <w:smallCaps/>
      <w:color w:val="2F5496" w:themeColor="accent1" w:themeShade="BF"/>
      <w:spacing w:val="5"/>
    </w:rPr>
  </w:style>
  <w:style w:type="character" w:styleId="Hyperlink">
    <w:name w:val="Hyperlink"/>
    <w:basedOn w:val="DefaultParagraphFont"/>
    <w:uiPriority w:val="99"/>
    <w:unhideWhenUsed/>
    <w:rsid w:val="0086543B"/>
    <w:rPr>
      <w:color w:val="0563C1" w:themeColor="hyperlink"/>
      <w:u w:val="single"/>
    </w:rPr>
  </w:style>
  <w:style w:type="character" w:styleId="UnresolvedMention">
    <w:name w:val="Unresolved Mention"/>
    <w:basedOn w:val="DefaultParagraphFont"/>
    <w:uiPriority w:val="99"/>
    <w:semiHidden/>
    <w:unhideWhenUsed/>
    <w:rsid w:val="0086543B"/>
    <w:rPr>
      <w:color w:val="605E5C"/>
      <w:shd w:val="clear" w:color="auto" w:fill="E1DFDD"/>
    </w:rPr>
  </w:style>
  <w:style w:type="character" w:styleId="PlaceholderText">
    <w:name w:val="Placeholder Text"/>
    <w:basedOn w:val="DefaultParagraphFont"/>
    <w:uiPriority w:val="99"/>
    <w:semiHidden/>
    <w:rsid w:val="00927B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9914">
      <w:bodyDiv w:val="1"/>
      <w:marLeft w:val="0"/>
      <w:marRight w:val="0"/>
      <w:marTop w:val="0"/>
      <w:marBottom w:val="0"/>
      <w:divBdr>
        <w:top w:val="none" w:sz="0" w:space="0" w:color="auto"/>
        <w:left w:val="none" w:sz="0" w:space="0" w:color="auto"/>
        <w:bottom w:val="none" w:sz="0" w:space="0" w:color="auto"/>
        <w:right w:val="none" w:sz="0" w:space="0" w:color="auto"/>
      </w:divBdr>
    </w:div>
    <w:div w:id="547029798">
      <w:bodyDiv w:val="1"/>
      <w:marLeft w:val="0"/>
      <w:marRight w:val="0"/>
      <w:marTop w:val="0"/>
      <w:marBottom w:val="0"/>
      <w:divBdr>
        <w:top w:val="none" w:sz="0" w:space="0" w:color="auto"/>
        <w:left w:val="none" w:sz="0" w:space="0" w:color="auto"/>
        <w:bottom w:val="none" w:sz="0" w:space="0" w:color="auto"/>
        <w:right w:val="none" w:sz="0" w:space="0" w:color="auto"/>
      </w:divBdr>
    </w:div>
    <w:div w:id="631977932">
      <w:bodyDiv w:val="1"/>
      <w:marLeft w:val="0"/>
      <w:marRight w:val="0"/>
      <w:marTop w:val="0"/>
      <w:marBottom w:val="0"/>
      <w:divBdr>
        <w:top w:val="none" w:sz="0" w:space="0" w:color="auto"/>
        <w:left w:val="none" w:sz="0" w:space="0" w:color="auto"/>
        <w:bottom w:val="none" w:sz="0" w:space="0" w:color="auto"/>
        <w:right w:val="none" w:sz="0" w:space="0" w:color="auto"/>
      </w:divBdr>
    </w:div>
    <w:div w:id="87296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oilfield-equipment-market" TargetMode="External"/><Relationship Id="rId5" Type="http://schemas.openxmlformats.org/officeDocument/2006/relationships/hyperlink" Target="https://www.skyquestt.com/sample-request/oilfield-equipment-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2025-07-14T18:58:00Z</dcterms:created>
  <dcterms:modified xsi:type="dcterms:W3CDTF">2025-07-14T19:05:00Z</dcterms:modified>
</cp:coreProperties>
</file>