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6F5BE" w14:textId="40F44947" w:rsidR="00B70553" w:rsidRPr="00B70553" w:rsidRDefault="00B70553" w:rsidP="00B70553">
      <w:pPr>
        <w:rPr>
          <w:b/>
          <w:bCs/>
        </w:rPr>
      </w:pPr>
      <w:r w:rsidRPr="00B70553">
        <w:rPr>
          <w:b/>
          <w:bCs/>
        </w:rPr>
        <w:t>2032年までに再生可能エネルギーが加速するSTATCOM市場</w:t>
      </w:r>
    </w:p>
    <w:p w14:paraId="4BB6519D" w14:textId="56FCCE8A" w:rsidR="00B70553" w:rsidRDefault="00B70553" w:rsidP="00B70553">
      <w:r>
        <w:t>STATCOMまたは静的同期補償器は、GTO、IGBTなどの力整流デバイスを使用して電力ネットワークを通る無効電力の流れを調整し、それによって電力ネットワークの安定性を向上させるパワーエレクトロニクスデバイスです。</w:t>
      </w:r>
    </w:p>
    <w:p w14:paraId="502AB3B2" w14:textId="4D6E34CE" w:rsidR="00B70553" w:rsidRDefault="00B70553" w:rsidP="00B70553">
      <w:r>
        <w:t>通常、STATCOMは、力率が低く、電圧レギュレーションが不十分なことが多い電気ネットワークをサポートするために取り付けられます。STATCOMの最も一般的な用途は電圧安定性です。STATCOMは、電圧源コンバータ(VSC)ベースのデバイスで、電圧源はバラストの後ろにあります。</w:t>
      </w:r>
    </w:p>
    <w:p w14:paraId="1881EB20" w14:textId="77777777" w:rsidR="00B70553" w:rsidRPr="00B70553" w:rsidRDefault="00B70553" w:rsidP="00B70553">
      <w:pPr>
        <w:rPr>
          <w:b/>
          <w:bCs/>
        </w:rPr>
      </w:pPr>
      <w:r w:rsidRPr="00B70553">
        <w:rPr>
          <w:b/>
          <w:bCs/>
        </w:rPr>
        <w:t>Statcomの市場規模は2023年に7億米ドルと評価され、2024年の7億4000万米ドルから2032年までに11億8000万米ドルに成長し、予測期間(2025年から2032年)の間に6.0%のCAGRで成長する態勢を整えています。</w:t>
      </w:r>
    </w:p>
    <w:p w14:paraId="6DD2CD08" w14:textId="59001C23" w:rsidR="00B70553" w:rsidRPr="00B70553" w:rsidRDefault="00B70553" w:rsidP="00B70553">
      <w:r>
        <w:t xml:space="preserve">無料サンプルレポートを入手する: </w:t>
      </w:r>
      <w:hyperlink r:id="rId6" w:history="1">
        <w:r w:rsidRPr="00FF74F2">
          <w:rPr>
            <w:rStyle w:val="Hyperlink"/>
          </w:rPr>
          <w:t>https://www.skyquestt.com/sample-request/statcom-market</w:t>
        </w:r>
      </w:hyperlink>
      <w:r>
        <w:t xml:space="preserve">  </w:t>
      </w:r>
    </w:p>
    <w:p w14:paraId="113C9094" w14:textId="77777777" w:rsidR="00B70553" w:rsidRPr="00B70553" w:rsidRDefault="00B70553" w:rsidP="00B70553">
      <w:pPr>
        <w:rPr>
          <w:b/>
          <w:bCs/>
        </w:rPr>
      </w:pPr>
      <w:r w:rsidRPr="00B70553">
        <w:rPr>
          <w:b/>
          <w:bCs/>
        </w:rPr>
        <w:t>市場成長の主な推進力</w:t>
      </w:r>
    </w:p>
    <w:p w14:paraId="5B833A3B" w14:textId="77777777" w:rsidR="00B70553" w:rsidRPr="00B70553" w:rsidRDefault="00B70553" w:rsidP="00B70553">
      <w:pPr>
        <w:numPr>
          <w:ilvl w:val="0"/>
          <w:numId w:val="1"/>
        </w:numPr>
      </w:pPr>
      <w:r w:rsidRPr="00B70553">
        <w:rPr>
          <w:b/>
          <w:bCs/>
        </w:rPr>
        <w:t>再生可能エネルギーの統合太陽エネルギーと風力エネルギーの間欠性は、グリッドの電圧と周波数にストレスを与えます。STATCOMは、これらの変動を滑らかにするのに役立ち、クリーンエネルギーへの移行に不可欠です。</w:t>
      </w:r>
    </w:p>
    <w:p w14:paraId="545DD9AD" w14:textId="77777777" w:rsidR="00B70553" w:rsidRPr="00B70553" w:rsidRDefault="00B70553" w:rsidP="00B70553">
      <w:pPr>
        <w:numPr>
          <w:ilvl w:val="0"/>
          <w:numId w:val="1"/>
        </w:numPr>
      </w:pPr>
      <w:r w:rsidRPr="00B70553">
        <w:rPr>
          <w:b/>
          <w:bCs/>
        </w:rPr>
        <w:t>送電網の近代化と都市化特に新興国において、よりスマートで回復力のある電力システムへの動きにより、STATCOMのような高度な電圧制御システムの需要が高まっています。</w:t>
      </w:r>
    </w:p>
    <w:p w14:paraId="2F749F6F" w14:textId="77777777" w:rsidR="00B70553" w:rsidRPr="00B70553" w:rsidRDefault="00B70553" w:rsidP="00B70553">
      <w:pPr>
        <w:numPr>
          <w:ilvl w:val="0"/>
          <w:numId w:val="1"/>
        </w:numPr>
      </w:pPr>
      <w:r w:rsidRPr="00B70553">
        <w:rPr>
          <w:b/>
          <w:bCs/>
        </w:rPr>
        <w:t>産業用電力の品質要求鉄鋼、自動車、石油・ガスなどの業界では、定電圧と無効電力のサポートが必要であり、製造業が盛んな地域でのSTATCOMの採用が促進されています。</w:t>
      </w:r>
    </w:p>
    <w:p w14:paraId="28153A25" w14:textId="77777777" w:rsidR="00B70553" w:rsidRPr="00B70553" w:rsidRDefault="00B70553" w:rsidP="00B70553">
      <w:pPr>
        <w:numPr>
          <w:ilvl w:val="0"/>
          <w:numId w:val="1"/>
        </w:numPr>
      </w:pPr>
      <w:r w:rsidRPr="00B70553">
        <w:rPr>
          <w:b/>
          <w:bCs/>
        </w:rPr>
        <w:t>HVDCネットワークの拡張長距離送電に不可欠な高電圧直流(HVDC)システムには、動的安定性と力率補正を強化するためにSTATCOMが組み込まれていることがよくあります。</w:t>
      </w:r>
    </w:p>
    <w:p w14:paraId="51646898" w14:textId="77777777" w:rsidR="00B70553" w:rsidRPr="00B70553" w:rsidRDefault="00B70553" w:rsidP="00B70553">
      <w:pPr>
        <w:rPr>
          <w:b/>
          <w:bCs/>
        </w:rPr>
      </w:pPr>
      <w:r w:rsidRPr="00B70553">
        <w:rPr>
          <w:b/>
          <w:bCs/>
        </w:rPr>
        <w:t>市場セグメンテーションのハイライト</w:t>
      </w:r>
    </w:p>
    <w:p w14:paraId="5A9F58A4" w14:textId="77777777" w:rsidR="00B70553" w:rsidRDefault="00B70553" w:rsidP="00B70553">
      <w:r w:rsidRPr="00B70553">
        <w:t xml:space="preserve">世界のスタットコム市場は、定格電力、エンドユーザー、地域によって分割されています。 </w:t>
      </w:r>
    </w:p>
    <w:p w14:paraId="4D92492F" w14:textId="77777777" w:rsidR="00B70553" w:rsidRDefault="00B70553" w:rsidP="00B70553">
      <w:pPr>
        <w:pStyle w:val="ListParagraph"/>
        <w:numPr>
          <w:ilvl w:val="0"/>
          <w:numId w:val="6"/>
        </w:numPr>
      </w:pPr>
      <w:r w:rsidRPr="00B70553">
        <w:lastRenderedPageBreak/>
        <w:t xml:space="preserve">定格電力に基づいて、市場は低電力STATCOM(20 Mvar未満)、中出力STATCOM(20-100 Mvar)、および高出力STATCOM(100 Mvar以上)に分割されます。 </w:t>
      </w:r>
    </w:p>
    <w:p w14:paraId="432D5140" w14:textId="77777777" w:rsidR="00B70553" w:rsidRDefault="00B70553" w:rsidP="00B70553">
      <w:pPr>
        <w:pStyle w:val="ListParagraph"/>
        <w:numPr>
          <w:ilvl w:val="0"/>
          <w:numId w:val="6"/>
        </w:numPr>
      </w:pPr>
      <w:r w:rsidRPr="00B70553">
        <w:t xml:space="preserve">エンドユーザーに基づいて、市場はユーティリティ、鉄鋼製造、再生可能エネルギー、鉱業、水素発電所などに分割されます。 </w:t>
      </w:r>
    </w:p>
    <w:p w14:paraId="143E6844" w14:textId="000E645F" w:rsidR="00B70553" w:rsidRPr="00B70553" w:rsidRDefault="00B70553" w:rsidP="00B70553">
      <w:pPr>
        <w:pStyle w:val="ListParagraph"/>
        <w:numPr>
          <w:ilvl w:val="0"/>
          <w:numId w:val="6"/>
        </w:numPr>
      </w:pPr>
      <w:r w:rsidRPr="00B70553">
        <w:t>地域に基づいて、市場は北米、ヨーロッパ、アジア太平洋、ラテンアメリカ、中東およびアフリカに分割されます。</w:t>
      </w:r>
    </w:p>
    <w:p w14:paraId="3E3E5752" w14:textId="678EAB9C" w:rsidR="00B70553" w:rsidRPr="00B70553" w:rsidRDefault="00B70553" w:rsidP="00B70553">
      <w:r w:rsidRPr="00B70553">
        <w:rPr>
          <w:b/>
          <w:bCs/>
        </w:rPr>
        <w:t xml:space="preserve">このレポートをカスタマイズしますか?アナリストに相談する: </w:t>
      </w:r>
      <w:hyperlink r:id="rId7" w:history="1">
        <w:r w:rsidRPr="00FF74F2">
          <w:rPr>
            <w:rStyle w:val="Hyperlink"/>
            <w:b/>
            <w:bCs/>
          </w:rPr>
          <w:t>https://www.skyquestt.com/speak-with-analyst/statcom-market</w:t>
        </w:r>
      </w:hyperlink>
      <w:r>
        <w:rPr>
          <w:b/>
          <w:bCs/>
        </w:rPr>
        <w:t xml:space="preserve"> </w:t>
      </w:r>
    </w:p>
    <w:p w14:paraId="3932C428" w14:textId="0A78255F" w:rsidR="00B70553" w:rsidRPr="00B70553" w:rsidRDefault="00B70553" w:rsidP="00B70553">
      <w:pPr>
        <w:rPr>
          <w:b/>
          <w:bCs/>
        </w:rPr>
      </w:pPr>
      <w:r w:rsidRPr="00B70553">
        <w:rPr>
          <w:b/>
          <w:bCs/>
        </w:rPr>
        <w:t>地域分析</w:t>
      </w:r>
    </w:p>
    <w:p w14:paraId="314C6347" w14:textId="68598DE5" w:rsidR="00B70553" w:rsidRDefault="00B70553" w:rsidP="00B70553">
      <w:r>
        <w:t>2021年、アジア太平洋地域は世界のスタットコム市場で最大のスタットコム市場シェアを占めました。ソーラーパネルの設置、風力発電所、太陽光発電所などの再生可能エネルギー市場からの需要の高まり、政府投資の増加、国を超えて電力を供給する試みが、APAC地域の市場拡大を促進すると予想されます。</w:t>
      </w:r>
    </w:p>
    <w:p w14:paraId="66073FA0" w14:textId="4EA58419" w:rsidR="00B70553" w:rsidRDefault="00B70553" w:rsidP="00B70553">
      <w:r>
        <w:t>また、北米は、この地域で活動する鉄鋼製造会社や石油・ガス会社の存在により、予測期間中に世界市場を支配しています。</w:t>
      </w:r>
    </w:p>
    <w:p w14:paraId="3BFCC976" w14:textId="3F20CCB2" w:rsidR="00B70553" w:rsidRPr="00B70553" w:rsidRDefault="00B70553" w:rsidP="00B70553">
      <w:r>
        <w:t>中国、日本、インド、韓国は、この市場の主要なキープレーヤーであり、市場の成長に貢献しています。ヨーロッパは鉄鋼製造の新技術を開発しており、これはこの地域の大幅なCAGRの主要な要因の1つです。</w:t>
      </w:r>
    </w:p>
    <w:p w14:paraId="6BC97833" w14:textId="77777777" w:rsidR="00B70553" w:rsidRPr="00B70553" w:rsidRDefault="00B70553" w:rsidP="00B70553">
      <w:pPr>
        <w:rPr>
          <w:b/>
          <w:bCs/>
        </w:rPr>
      </w:pPr>
      <w:r w:rsidRPr="00B70553">
        <w:rPr>
          <w:b/>
          <w:bCs/>
        </w:rPr>
        <w:t>競合環境</w:t>
      </w:r>
    </w:p>
    <w:p w14:paraId="2B152F8B" w14:textId="77777777" w:rsidR="00B70553" w:rsidRPr="00B70553" w:rsidRDefault="00B70553" w:rsidP="00B70553">
      <w:r w:rsidRPr="00B70553">
        <w:t>STATCOM市場の主要なプレーヤーは次のとおりです。</w:t>
      </w:r>
    </w:p>
    <w:p w14:paraId="049DACE6" w14:textId="77777777" w:rsidR="00B70553" w:rsidRDefault="00B70553" w:rsidP="00B70553">
      <w:pPr>
        <w:pStyle w:val="ListParagraph"/>
        <w:numPr>
          <w:ilvl w:val="0"/>
          <w:numId w:val="7"/>
        </w:numPr>
      </w:pPr>
      <w:r>
        <w:t xml:space="preserve">ABB (スイス) </w:t>
      </w:r>
    </w:p>
    <w:p w14:paraId="2FFE97AC" w14:textId="77777777" w:rsidR="00B70553" w:rsidRDefault="00B70553" w:rsidP="00B70553">
      <w:pPr>
        <w:pStyle w:val="ListParagraph"/>
        <w:numPr>
          <w:ilvl w:val="0"/>
          <w:numId w:val="7"/>
        </w:numPr>
      </w:pPr>
      <w:r>
        <w:t xml:space="preserve">Siemens AG (ドイツ) </w:t>
      </w:r>
    </w:p>
    <w:p w14:paraId="550D6A17" w14:textId="77777777" w:rsidR="00B70553" w:rsidRDefault="00B70553" w:rsidP="00B70553">
      <w:pPr>
        <w:pStyle w:val="ListParagraph"/>
        <w:numPr>
          <w:ilvl w:val="0"/>
          <w:numId w:val="7"/>
        </w:numPr>
      </w:pPr>
      <w:r>
        <w:t xml:space="preserve">ゼネラル・エレクトリック(GE)(米国) </w:t>
      </w:r>
    </w:p>
    <w:p w14:paraId="7EABCE91" w14:textId="77777777" w:rsidR="00B70553" w:rsidRDefault="00B70553" w:rsidP="00B70553">
      <w:pPr>
        <w:pStyle w:val="ListParagraph"/>
        <w:numPr>
          <w:ilvl w:val="0"/>
          <w:numId w:val="7"/>
        </w:numPr>
      </w:pPr>
      <w:r>
        <w:t xml:space="preserve">日立エナジー(スイス) </w:t>
      </w:r>
    </w:p>
    <w:p w14:paraId="20208531" w14:textId="77777777" w:rsidR="00B70553" w:rsidRDefault="00B70553" w:rsidP="00B70553">
      <w:pPr>
        <w:pStyle w:val="ListParagraph"/>
        <w:numPr>
          <w:ilvl w:val="0"/>
          <w:numId w:val="7"/>
        </w:numPr>
      </w:pPr>
      <w:r>
        <w:t xml:space="preserve">三菱電機株式会社(日本) </w:t>
      </w:r>
    </w:p>
    <w:p w14:paraId="1AA26DAA" w14:textId="77777777" w:rsidR="00B70553" w:rsidRDefault="00B70553" w:rsidP="00B70553">
      <w:pPr>
        <w:pStyle w:val="ListParagraph"/>
        <w:numPr>
          <w:ilvl w:val="0"/>
          <w:numId w:val="7"/>
        </w:numPr>
      </w:pPr>
      <w:r>
        <w:t xml:space="preserve">株式会社東芝(東京都) </w:t>
      </w:r>
    </w:p>
    <w:p w14:paraId="6455C376" w14:textId="77777777" w:rsidR="00B70553" w:rsidRDefault="00B70553" w:rsidP="00B70553">
      <w:pPr>
        <w:pStyle w:val="ListParagraph"/>
        <w:numPr>
          <w:ilvl w:val="0"/>
          <w:numId w:val="7"/>
        </w:numPr>
      </w:pPr>
      <w:r>
        <w:t xml:space="preserve">シュナイダーエレクトリックSE(フランス) </w:t>
      </w:r>
    </w:p>
    <w:p w14:paraId="49386241" w14:textId="77777777" w:rsidR="00B70553" w:rsidRDefault="00B70553" w:rsidP="00B70553">
      <w:pPr>
        <w:pStyle w:val="ListParagraph"/>
        <w:numPr>
          <w:ilvl w:val="0"/>
          <w:numId w:val="7"/>
        </w:numPr>
      </w:pPr>
      <w:r>
        <w:t xml:space="preserve">Eaton Corporation (アイルランド) </w:t>
      </w:r>
    </w:p>
    <w:p w14:paraId="131E3008" w14:textId="77777777" w:rsidR="00B70553" w:rsidRDefault="00B70553" w:rsidP="00B70553">
      <w:pPr>
        <w:pStyle w:val="ListParagraph"/>
        <w:numPr>
          <w:ilvl w:val="0"/>
          <w:numId w:val="7"/>
        </w:numPr>
      </w:pPr>
      <w:r>
        <w:t xml:space="preserve">NR Electric Co., Ltd.(中国) </w:t>
      </w:r>
    </w:p>
    <w:p w14:paraId="08256346" w14:textId="77777777" w:rsidR="00B70553" w:rsidRDefault="00B70553" w:rsidP="00B70553">
      <w:pPr>
        <w:pStyle w:val="ListParagraph"/>
        <w:numPr>
          <w:ilvl w:val="0"/>
          <w:numId w:val="7"/>
        </w:numPr>
      </w:pPr>
      <w:r>
        <w:t xml:space="preserve">S&amp;C Electric Company(米国) </w:t>
      </w:r>
    </w:p>
    <w:p w14:paraId="1D5E2908" w14:textId="77777777" w:rsidR="00B70553" w:rsidRDefault="00B70553" w:rsidP="00B70553">
      <w:pPr>
        <w:pStyle w:val="ListParagraph"/>
        <w:numPr>
          <w:ilvl w:val="0"/>
          <w:numId w:val="7"/>
        </w:numPr>
      </w:pPr>
      <w:proofErr w:type="spellStart"/>
      <w:r>
        <w:t>Ingeteam</w:t>
      </w:r>
      <w:proofErr w:type="spellEnd"/>
      <w:r>
        <w:t xml:space="preserve"> Power Technology(</w:t>
      </w:r>
      <w:proofErr w:type="spellStart"/>
      <w:r>
        <w:t>スペイン</w:t>
      </w:r>
      <w:proofErr w:type="spellEnd"/>
      <w:r>
        <w:t xml:space="preserve">) </w:t>
      </w:r>
    </w:p>
    <w:p w14:paraId="4058DF03" w14:textId="77777777" w:rsidR="00B70553" w:rsidRDefault="00B70553" w:rsidP="00B70553">
      <w:pPr>
        <w:pStyle w:val="ListParagraph"/>
        <w:numPr>
          <w:ilvl w:val="0"/>
          <w:numId w:val="7"/>
        </w:numPr>
      </w:pPr>
      <w:r>
        <w:t xml:space="preserve">American Superconductor Corporation (AMSC) (アメリカ) </w:t>
      </w:r>
    </w:p>
    <w:p w14:paraId="2C705E64" w14:textId="77777777" w:rsidR="00B70553" w:rsidRDefault="00B70553" w:rsidP="00B70553">
      <w:pPr>
        <w:pStyle w:val="ListParagraph"/>
        <w:numPr>
          <w:ilvl w:val="0"/>
          <w:numId w:val="7"/>
        </w:numPr>
      </w:pPr>
      <w:proofErr w:type="spellStart"/>
      <w:r>
        <w:lastRenderedPageBreak/>
        <w:t>Rongxin</w:t>
      </w:r>
      <w:proofErr w:type="spellEnd"/>
      <w:r>
        <w:t xml:space="preserve"> Power Electronic Co., Ltd. (</w:t>
      </w:r>
      <w:proofErr w:type="spellStart"/>
      <w:r>
        <w:t>中国</w:t>
      </w:r>
      <w:proofErr w:type="spellEnd"/>
      <w:r>
        <w:t xml:space="preserve">) </w:t>
      </w:r>
    </w:p>
    <w:p w14:paraId="6DE1F62C" w14:textId="77777777" w:rsidR="00B70553" w:rsidRDefault="00B70553" w:rsidP="00B70553">
      <w:pPr>
        <w:pStyle w:val="ListParagraph"/>
        <w:numPr>
          <w:ilvl w:val="0"/>
          <w:numId w:val="7"/>
        </w:numPr>
      </w:pPr>
      <w:r>
        <w:t xml:space="preserve">暁星重工業(韓国) </w:t>
      </w:r>
    </w:p>
    <w:p w14:paraId="10ADD9A4" w14:textId="77777777" w:rsidR="00B70553" w:rsidRDefault="00B70553" w:rsidP="00B70553">
      <w:pPr>
        <w:pStyle w:val="ListParagraph"/>
        <w:numPr>
          <w:ilvl w:val="0"/>
          <w:numId w:val="7"/>
        </w:numPr>
      </w:pPr>
      <w:proofErr w:type="spellStart"/>
      <w:r>
        <w:t>Sieyuan</w:t>
      </w:r>
      <w:proofErr w:type="spellEnd"/>
      <w:r>
        <w:t xml:space="preserve"> Electric Co., Ltd. (</w:t>
      </w:r>
      <w:proofErr w:type="spellStart"/>
      <w:r>
        <w:t>中国</w:t>
      </w:r>
      <w:proofErr w:type="spellEnd"/>
      <w:r>
        <w:t xml:space="preserve">) </w:t>
      </w:r>
    </w:p>
    <w:p w14:paraId="78833287" w14:textId="77777777" w:rsidR="00B70553" w:rsidRDefault="00B70553" w:rsidP="00B70553">
      <w:pPr>
        <w:pStyle w:val="ListParagraph"/>
        <w:numPr>
          <w:ilvl w:val="0"/>
          <w:numId w:val="7"/>
        </w:numPr>
      </w:pPr>
      <w:r>
        <w:t xml:space="preserve">Bharat Heavy Electricals Limited (BHEL) (インド) </w:t>
      </w:r>
    </w:p>
    <w:p w14:paraId="5C366FF5" w14:textId="77777777" w:rsidR="00B70553" w:rsidRDefault="00B70553" w:rsidP="00B70553">
      <w:pPr>
        <w:pStyle w:val="ListParagraph"/>
        <w:numPr>
          <w:ilvl w:val="0"/>
          <w:numId w:val="7"/>
        </w:numPr>
      </w:pPr>
      <w:r>
        <w:t xml:space="preserve">Crompton Greaves Consumer Electricals Limited(インド) </w:t>
      </w:r>
    </w:p>
    <w:p w14:paraId="2F720137" w14:textId="77777777" w:rsidR="00B70553" w:rsidRDefault="00B70553" w:rsidP="00B70553">
      <w:pPr>
        <w:pStyle w:val="ListParagraph"/>
        <w:numPr>
          <w:ilvl w:val="0"/>
          <w:numId w:val="7"/>
        </w:numPr>
      </w:pPr>
      <w:r>
        <w:t xml:space="preserve">JEMA Energy(米国) </w:t>
      </w:r>
    </w:p>
    <w:p w14:paraId="43A57472" w14:textId="77777777" w:rsidR="00B70553" w:rsidRDefault="00B70553" w:rsidP="00B70553">
      <w:pPr>
        <w:pStyle w:val="ListParagraph"/>
        <w:numPr>
          <w:ilvl w:val="0"/>
          <w:numId w:val="7"/>
        </w:numPr>
      </w:pPr>
      <w:r>
        <w:t xml:space="preserve">Veeral Controls Pvt. Ltd.(インド) </w:t>
      </w:r>
    </w:p>
    <w:p w14:paraId="4BCD781F" w14:textId="3D710E9C" w:rsidR="00B70553" w:rsidRPr="00B70553" w:rsidRDefault="00B70553" w:rsidP="00B70553">
      <w:pPr>
        <w:pStyle w:val="ListParagraph"/>
        <w:numPr>
          <w:ilvl w:val="0"/>
          <w:numId w:val="7"/>
        </w:numPr>
      </w:pPr>
      <w:r>
        <w:t>Power One Micro Systems Pvt. Ltd.(インド)</w:t>
      </w:r>
    </w:p>
    <w:p w14:paraId="24860BA4" w14:textId="77777777" w:rsidR="00B70553" w:rsidRPr="00B70553" w:rsidRDefault="00B70553" w:rsidP="00B70553">
      <w:r w:rsidRPr="00B70553">
        <w:t>これらの企業は、戦略的パートナーシップ、モジュール式のSTATCOM設計の革新、および市場での地位を維持するために発展途上地域への拡大に注力しています。</w:t>
      </w:r>
    </w:p>
    <w:p w14:paraId="5A1F24A7" w14:textId="04BDFEC9" w:rsidR="00B70553" w:rsidRPr="00B70553" w:rsidRDefault="00B70553" w:rsidP="00B70553">
      <w:pPr>
        <w:rPr>
          <w:b/>
          <w:bCs/>
        </w:rPr>
      </w:pPr>
      <w:proofErr w:type="spellStart"/>
      <w:r w:rsidRPr="00B70553">
        <w:rPr>
          <w:b/>
          <w:bCs/>
        </w:rPr>
        <w:t>スタットコム市場の最近の動向</w:t>
      </w:r>
      <w:proofErr w:type="spellEnd"/>
      <w:r w:rsidRPr="00B70553">
        <w:rPr>
          <w:b/>
          <w:bCs/>
        </w:rPr>
        <w:t>:</w:t>
      </w:r>
    </w:p>
    <w:p w14:paraId="77CDF09C" w14:textId="77777777" w:rsidR="00B70553" w:rsidRDefault="00B70553" w:rsidP="00B70553">
      <w:r>
        <w:t>2017年4月、American Superconductor Corporation(AMSC)は、800万米ドルを超える4つの新しいd-var STATCOMシステムの注文を発表しました。このうち2件は再生可能エネルギー分野向けのもので、英国では風力発電所の電力網への接続や負荷条件の変化に動的に対応することで、電圧調整を行うために使用されることが期待されています。</w:t>
      </w:r>
    </w:p>
    <w:p w14:paraId="7749D385" w14:textId="329477A0" w:rsidR="004D40C5" w:rsidRDefault="00B70553" w:rsidP="00B70553">
      <w:r>
        <w:t xml:space="preserve">2017年3月、ABBは、エキスパートデジタル配電用変圧器(300 kva - 10 </w:t>
      </w:r>
      <w:proofErr w:type="spellStart"/>
      <w:r>
        <w:t>Mva</w:t>
      </w:r>
      <w:proofErr w:type="spellEnd"/>
      <w:r>
        <w:t>)</w:t>
      </w:r>
      <w:proofErr w:type="spellStart"/>
      <w:r>
        <w:t>の発売を発表しました。これは、資産パフォーマンス分析を提供し、データの正確性を確保するデジタルソリューションです</w:t>
      </w:r>
      <w:proofErr w:type="spellEnd"/>
      <w:r>
        <w:t>。</w:t>
      </w:r>
    </w:p>
    <w:p w14:paraId="51FA4F6C" w14:textId="0F9ACE98" w:rsidR="00B70553" w:rsidRDefault="00B70553" w:rsidP="00B70553">
      <w:proofErr w:type="spellStart"/>
      <w:r w:rsidRPr="00B70553">
        <w:t>スタットコムの市場レポート全文を見る</w:t>
      </w:r>
      <w:proofErr w:type="spellEnd"/>
      <w:r w:rsidRPr="00B70553">
        <w:t xml:space="preserve">: </w:t>
      </w:r>
      <w:hyperlink r:id="rId8" w:history="1">
        <w:r w:rsidRPr="00FF74F2">
          <w:rPr>
            <w:rStyle w:val="Hyperlink"/>
          </w:rPr>
          <w:t>https://www.skyquestt.com/report/statcom-market</w:t>
        </w:r>
      </w:hyperlink>
      <w:r>
        <w:t xml:space="preserve"> </w:t>
      </w:r>
    </w:p>
    <w:sectPr w:rsidR="00B70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5DE"/>
    <w:multiLevelType w:val="multilevel"/>
    <w:tmpl w:val="CFC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155BA"/>
    <w:multiLevelType w:val="multilevel"/>
    <w:tmpl w:val="FAA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52EA6"/>
    <w:multiLevelType w:val="hybridMultilevel"/>
    <w:tmpl w:val="A1DA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42044"/>
    <w:multiLevelType w:val="multilevel"/>
    <w:tmpl w:val="190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F1824"/>
    <w:multiLevelType w:val="multilevel"/>
    <w:tmpl w:val="B404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B1532"/>
    <w:multiLevelType w:val="multilevel"/>
    <w:tmpl w:val="B908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66D9F"/>
    <w:multiLevelType w:val="hybridMultilevel"/>
    <w:tmpl w:val="8754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748505">
    <w:abstractNumId w:val="4"/>
  </w:num>
  <w:num w:numId="2" w16cid:durableId="455953979">
    <w:abstractNumId w:val="0"/>
  </w:num>
  <w:num w:numId="3" w16cid:durableId="409543172">
    <w:abstractNumId w:val="5"/>
  </w:num>
  <w:num w:numId="4" w16cid:durableId="1508211147">
    <w:abstractNumId w:val="1"/>
  </w:num>
  <w:num w:numId="5" w16cid:durableId="470828953">
    <w:abstractNumId w:val="3"/>
  </w:num>
  <w:num w:numId="6" w16cid:durableId="1858496381">
    <w:abstractNumId w:val="6"/>
  </w:num>
  <w:num w:numId="7" w16cid:durableId="165721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53"/>
    <w:rsid w:val="001D01DB"/>
    <w:rsid w:val="00274CDA"/>
    <w:rsid w:val="004D40C5"/>
    <w:rsid w:val="00874523"/>
    <w:rsid w:val="00B354D8"/>
    <w:rsid w:val="00B70553"/>
    <w:rsid w:val="00BB68BD"/>
    <w:rsid w:val="00C15B33"/>
    <w:rsid w:val="00FA53E2"/>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DBDA"/>
  <w15:chartTrackingRefBased/>
  <w15:docId w15:val="{3C2F2B9B-99C6-4DC3-AA0E-FB47D33B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5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5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5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5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5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5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5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5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5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553"/>
    <w:rPr>
      <w:rFonts w:eastAsiaTheme="majorEastAsia" w:cstheme="majorBidi"/>
      <w:color w:val="272727" w:themeColor="text1" w:themeTint="D8"/>
    </w:rPr>
  </w:style>
  <w:style w:type="paragraph" w:styleId="Title">
    <w:name w:val="Title"/>
    <w:basedOn w:val="Normal"/>
    <w:next w:val="Normal"/>
    <w:link w:val="TitleChar"/>
    <w:uiPriority w:val="10"/>
    <w:qFormat/>
    <w:rsid w:val="00B70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553"/>
    <w:pPr>
      <w:spacing w:before="160"/>
      <w:jc w:val="center"/>
    </w:pPr>
    <w:rPr>
      <w:i/>
      <w:iCs/>
      <w:color w:val="404040" w:themeColor="text1" w:themeTint="BF"/>
    </w:rPr>
  </w:style>
  <w:style w:type="character" w:customStyle="1" w:styleId="QuoteChar">
    <w:name w:val="Quote Char"/>
    <w:basedOn w:val="DefaultParagraphFont"/>
    <w:link w:val="Quote"/>
    <w:uiPriority w:val="29"/>
    <w:rsid w:val="00B70553"/>
    <w:rPr>
      <w:i/>
      <w:iCs/>
      <w:color w:val="404040" w:themeColor="text1" w:themeTint="BF"/>
    </w:rPr>
  </w:style>
  <w:style w:type="paragraph" w:styleId="ListParagraph">
    <w:name w:val="List Paragraph"/>
    <w:basedOn w:val="Normal"/>
    <w:uiPriority w:val="34"/>
    <w:qFormat/>
    <w:rsid w:val="00B70553"/>
    <w:pPr>
      <w:ind w:left="720"/>
      <w:contextualSpacing/>
    </w:pPr>
  </w:style>
  <w:style w:type="character" w:styleId="IntenseEmphasis">
    <w:name w:val="Intense Emphasis"/>
    <w:basedOn w:val="DefaultParagraphFont"/>
    <w:uiPriority w:val="21"/>
    <w:qFormat/>
    <w:rsid w:val="00B70553"/>
    <w:rPr>
      <w:i/>
      <w:iCs/>
      <w:color w:val="2F5496" w:themeColor="accent1" w:themeShade="BF"/>
    </w:rPr>
  </w:style>
  <w:style w:type="paragraph" w:styleId="IntenseQuote">
    <w:name w:val="Intense Quote"/>
    <w:basedOn w:val="Normal"/>
    <w:next w:val="Normal"/>
    <w:link w:val="IntenseQuoteChar"/>
    <w:uiPriority w:val="30"/>
    <w:qFormat/>
    <w:rsid w:val="00B70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553"/>
    <w:rPr>
      <w:i/>
      <w:iCs/>
      <w:color w:val="2F5496" w:themeColor="accent1" w:themeShade="BF"/>
    </w:rPr>
  </w:style>
  <w:style w:type="character" w:styleId="IntenseReference">
    <w:name w:val="Intense Reference"/>
    <w:basedOn w:val="DefaultParagraphFont"/>
    <w:uiPriority w:val="32"/>
    <w:qFormat/>
    <w:rsid w:val="00B70553"/>
    <w:rPr>
      <w:b/>
      <w:bCs/>
      <w:smallCaps/>
      <w:color w:val="2F5496" w:themeColor="accent1" w:themeShade="BF"/>
      <w:spacing w:val="5"/>
    </w:rPr>
  </w:style>
  <w:style w:type="character" w:styleId="Hyperlink">
    <w:name w:val="Hyperlink"/>
    <w:basedOn w:val="DefaultParagraphFont"/>
    <w:uiPriority w:val="99"/>
    <w:unhideWhenUsed/>
    <w:rsid w:val="00B70553"/>
    <w:rPr>
      <w:color w:val="0563C1" w:themeColor="hyperlink"/>
      <w:u w:val="single"/>
    </w:rPr>
  </w:style>
  <w:style w:type="character" w:styleId="UnresolvedMention">
    <w:name w:val="Unresolved Mention"/>
    <w:basedOn w:val="DefaultParagraphFont"/>
    <w:uiPriority w:val="99"/>
    <w:semiHidden/>
    <w:unhideWhenUsed/>
    <w:rsid w:val="00B70553"/>
    <w:rPr>
      <w:color w:val="605E5C"/>
      <w:shd w:val="clear" w:color="auto" w:fill="E1DFDD"/>
    </w:rPr>
  </w:style>
  <w:style w:type="character" w:styleId="PlaceholderText">
    <w:name w:val="Placeholder Text"/>
    <w:basedOn w:val="DefaultParagraphFont"/>
    <w:uiPriority w:val="99"/>
    <w:semiHidden/>
    <w:rsid w:val="008745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3093">
      <w:bodyDiv w:val="1"/>
      <w:marLeft w:val="0"/>
      <w:marRight w:val="0"/>
      <w:marTop w:val="0"/>
      <w:marBottom w:val="0"/>
      <w:divBdr>
        <w:top w:val="none" w:sz="0" w:space="0" w:color="auto"/>
        <w:left w:val="none" w:sz="0" w:space="0" w:color="auto"/>
        <w:bottom w:val="none" w:sz="0" w:space="0" w:color="auto"/>
        <w:right w:val="none" w:sz="0" w:space="0" w:color="auto"/>
      </w:divBdr>
    </w:div>
    <w:div w:id="618873033">
      <w:bodyDiv w:val="1"/>
      <w:marLeft w:val="0"/>
      <w:marRight w:val="0"/>
      <w:marTop w:val="0"/>
      <w:marBottom w:val="0"/>
      <w:divBdr>
        <w:top w:val="none" w:sz="0" w:space="0" w:color="auto"/>
        <w:left w:val="none" w:sz="0" w:space="0" w:color="auto"/>
        <w:bottom w:val="none" w:sz="0" w:space="0" w:color="auto"/>
        <w:right w:val="none" w:sz="0" w:space="0" w:color="auto"/>
      </w:divBdr>
    </w:div>
    <w:div w:id="983579093">
      <w:bodyDiv w:val="1"/>
      <w:marLeft w:val="0"/>
      <w:marRight w:val="0"/>
      <w:marTop w:val="0"/>
      <w:marBottom w:val="0"/>
      <w:divBdr>
        <w:top w:val="none" w:sz="0" w:space="0" w:color="auto"/>
        <w:left w:val="none" w:sz="0" w:space="0" w:color="auto"/>
        <w:bottom w:val="none" w:sz="0" w:space="0" w:color="auto"/>
        <w:right w:val="none" w:sz="0" w:space="0" w:color="auto"/>
      </w:divBdr>
    </w:div>
    <w:div w:id="197802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tatcom-market" TargetMode="External"/><Relationship Id="rId3" Type="http://schemas.openxmlformats.org/officeDocument/2006/relationships/styles" Target="styles.xml"/><Relationship Id="rId7" Type="http://schemas.openxmlformats.org/officeDocument/2006/relationships/hyperlink" Target="https://www.skyquestt.com/speak-with-analyst/statcom-mark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kyquestt.com/sample-request/statcom-mark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0317-32C5-422A-AF39-D70768A2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2025-07-17T06:02:00Z</dcterms:created>
  <dcterms:modified xsi:type="dcterms:W3CDTF">2025-07-17T06:08:00Z</dcterms:modified>
</cp:coreProperties>
</file>