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5ECA" w14:textId="69EC7F1D" w:rsidR="00B1748C" w:rsidRDefault="00B1748C" w:rsidP="00B1748C">
      <w:pPr>
        <w:rPr>
          <w:b/>
          <w:bCs/>
        </w:rPr>
      </w:pPr>
      <w:r w:rsidRPr="00B1748C">
        <w:rPr>
          <w:b/>
          <w:bCs/>
        </w:rPr>
        <w:t>合成ポリマーワックス市場は2032年までに466億7000万米ドルに達すると予測されています</w:t>
      </w:r>
    </w:p>
    <w:p w14:paraId="1EE2278A" w14:textId="55112320" w:rsidR="00B1748C" w:rsidRDefault="00B1748C" w:rsidP="00B1748C">
      <w:r w:rsidRPr="00B1748C">
        <w:t>世界的なインフラ開発は、塗料やコーティング、インクの需要を生み出しており、予測期間中に世界の合成ポリマー市場の成長にプラスの影響を与えると予想されます。さらに、FDA(食品医薬品局)は、予測期間中に合成ポリマーワックス市場の成長を急増させると予測される主要な要因である食品包装業界での合成ポリマーワックスの使用を承認しました。</w:t>
      </w:r>
    </w:p>
    <w:p w14:paraId="11D8D932" w14:textId="77777777" w:rsidR="00B1748C" w:rsidRPr="00B1748C" w:rsidRDefault="00B1748C" w:rsidP="00B1748C">
      <w:pPr>
        <w:rPr>
          <w:b/>
          <w:bCs/>
        </w:rPr>
      </w:pPr>
      <w:r w:rsidRPr="00B1748C">
        <w:rPr>
          <w:b/>
          <w:bCs/>
        </w:rPr>
        <w:t>世界の合成ポリマーワックスの市場規模は、2023年に298億3000万米ドルと評価され、2024年の313億5000万米ドルから2032年までに466億7000万米ドルに成長し、予測期間(2025年から2032年)の間に5.1%のCAGRで成長する態勢を整えています。</w:t>
      </w:r>
    </w:p>
    <w:p w14:paraId="5B2D36B0" w14:textId="40845972" w:rsidR="00B1748C" w:rsidRDefault="00B1748C" w:rsidP="00B1748C">
      <w:r>
        <w:t xml:space="preserve">無料サンプルレポートを入手: </w:t>
      </w:r>
      <w:hyperlink r:id="rId5" w:history="1">
        <w:r w:rsidRPr="001803F8">
          <w:rPr>
            <w:rStyle w:val="Hyperlink"/>
          </w:rPr>
          <w:t>https://www.skyquestt.com/sample-request/synthetic-polymer-waxes-market</w:t>
        </w:r>
      </w:hyperlink>
      <w:r>
        <w:t xml:space="preserve"> </w:t>
      </w:r>
    </w:p>
    <w:p w14:paraId="017C4E78" w14:textId="77777777" w:rsidR="00B1748C" w:rsidRPr="00B1748C" w:rsidRDefault="00B1748C" w:rsidP="00B1748C">
      <w:pPr>
        <w:rPr>
          <w:b/>
          <w:bCs/>
        </w:rPr>
      </w:pPr>
      <w:r w:rsidRPr="00B1748C">
        <w:rPr>
          <w:b/>
          <w:bCs/>
        </w:rPr>
        <w:t>合成ポリマーワックス市場セグメント分析</w:t>
      </w:r>
    </w:p>
    <w:p w14:paraId="3EAB7272" w14:textId="77777777" w:rsidR="00B1748C" w:rsidRDefault="00B1748C" w:rsidP="00B1748C">
      <w:r w:rsidRPr="00B1748C">
        <w:t xml:space="preserve">世界の合成ポリマーワックス市場は、タイプ、アプリケーション、最終用途産業、地域別に分類されています。 </w:t>
      </w:r>
    </w:p>
    <w:p w14:paraId="1436BCEC" w14:textId="77777777" w:rsidR="00B1748C" w:rsidRDefault="00B1748C" w:rsidP="00B1748C">
      <w:pPr>
        <w:pStyle w:val="ListParagraph"/>
        <w:numPr>
          <w:ilvl w:val="0"/>
          <w:numId w:val="1"/>
        </w:numPr>
      </w:pPr>
      <w:r w:rsidRPr="00B1748C">
        <w:t xml:space="preserve">タイプに基づいて、市場はホモポリマーワックス、ポリエチレンワックス、ポリプロピレンワックス、フィッシャートロピッチワックス、共重合体ワックス、エチレン酢酸ビニルワックス、エチレンアクリル酸ワックスなどに分割されます。 </w:t>
      </w:r>
    </w:p>
    <w:p w14:paraId="2AF0659E" w14:textId="77777777" w:rsidR="00B1748C" w:rsidRDefault="00B1748C" w:rsidP="00B1748C">
      <w:pPr>
        <w:pStyle w:val="ListParagraph"/>
        <w:numPr>
          <w:ilvl w:val="0"/>
          <w:numId w:val="1"/>
        </w:numPr>
      </w:pPr>
      <w:r w:rsidRPr="00B1748C">
        <w:t xml:space="preserve">アプリケーションに基づいて、市場は潤滑、湿潤および分散、表面改質、保持などに分割されます。 </w:t>
      </w:r>
    </w:p>
    <w:p w14:paraId="6C9BF186" w14:textId="77777777" w:rsidR="00B1748C" w:rsidRDefault="00B1748C" w:rsidP="00B1748C">
      <w:pPr>
        <w:pStyle w:val="ListParagraph"/>
        <w:numPr>
          <w:ilvl w:val="0"/>
          <w:numId w:val="1"/>
        </w:numPr>
      </w:pPr>
      <w:r w:rsidRPr="00B1748C">
        <w:t xml:space="preserve">最終用途産業に基づいて、市場は自動車、建設、プラスチック、塗料およびコーティング、繊維、紙および包装などに分割されます。 </w:t>
      </w:r>
    </w:p>
    <w:p w14:paraId="11A27B13" w14:textId="6377238E" w:rsidR="00B1748C" w:rsidRPr="00B1748C" w:rsidRDefault="00B1748C" w:rsidP="00B1748C">
      <w:pPr>
        <w:pStyle w:val="ListParagraph"/>
        <w:numPr>
          <w:ilvl w:val="0"/>
          <w:numId w:val="1"/>
        </w:numPr>
      </w:pPr>
      <w:r w:rsidRPr="00B1748C">
        <w:t xml:space="preserve">地域に基づいて、市場は北米、ヨーロッパ、アジア太平洋、ラテンアメリカ、中東およびアフリカに分割されます。  </w:t>
      </w:r>
    </w:p>
    <w:p w14:paraId="189B8EA6" w14:textId="77EB1C1D" w:rsidR="00B1748C" w:rsidRPr="00B1748C" w:rsidRDefault="00B1748C" w:rsidP="00B1748C">
      <w:pPr>
        <w:rPr>
          <w:b/>
          <w:bCs/>
        </w:rPr>
      </w:pPr>
      <w:r w:rsidRPr="00B1748C">
        <w:rPr>
          <w:b/>
          <w:bCs/>
        </w:rPr>
        <w:t>自動車・包装セクターが消費をリード</w:t>
      </w:r>
    </w:p>
    <w:p w14:paraId="2711B58A" w14:textId="137184E8" w:rsidR="00B1748C" w:rsidRPr="00B1748C" w:rsidRDefault="00B1748C" w:rsidP="00B1748C">
      <w:r w:rsidRPr="00B1748C">
        <w:t>自動車業界では、アンダーボディコーティング、潤滑剤、保護外装仕上げなどの用途にポリマーワックスが使用されています。同時に、包装業界では、特にリサイクル可能で持続可能な包装材料への世界的なシフトに伴い、食品安全コーティング、紙ラミネート、ホットメルト接着剤に使用する合成ワックスの採用が続いています。</w:t>
      </w:r>
    </w:p>
    <w:p w14:paraId="6389CE4F" w14:textId="77777777" w:rsidR="00B1748C" w:rsidRPr="00B1748C" w:rsidRDefault="00B1748C" w:rsidP="00B1748C">
      <w:pPr>
        <w:rPr>
          <w:b/>
          <w:bCs/>
        </w:rPr>
      </w:pPr>
      <w:r w:rsidRPr="00B1748C">
        <w:rPr>
          <w:b/>
          <w:bCs/>
        </w:rPr>
        <w:t>合成ポリマーワックス市場地域別洞察</w:t>
      </w:r>
    </w:p>
    <w:p w14:paraId="751D7C27" w14:textId="77777777" w:rsidR="00B1748C" w:rsidRDefault="00B1748C" w:rsidP="00B1748C">
      <w:pPr>
        <w:pStyle w:val="ListParagraph"/>
        <w:numPr>
          <w:ilvl w:val="0"/>
          <w:numId w:val="2"/>
        </w:numPr>
      </w:pPr>
      <w:r w:rsidRPr="00B1748C">
        <w:lastRenderedPageBreak/>
        <w:t xml:space="preserve">アジア太平洋地域は、世界最大の合成ポリマーワックス市場シェアを保持しており、この傾向は予測期間中も続くと予想されます。アジア太平洋地域市場の成長を牽引する主要な側面には、包装、建設、化粧品などの最終用途からのワックスの需要の成長が含まれます。 </w:t>
      </w:r>
    </w:p>
    <w:p w14:paraId="792628B9" w14:textId="77777777" w:rsidR="00B1748C" w:rsidRDefault="00B1748C" w:rsidP="00B1748C">
      <w:pPr>
        <w:pStyle w:val="ListParagraph"/>
        <w:numPr>
          <w:ilvl w:val="0"/>
          <w:numId w:val="2"/>
        </w:numPr>
      </w:pPr>
      <w:r w:rsidRPr="00B1748C">
        <w:t xml:space="preserve">地域全体での建設活動の増加は、予測期間中の市場の成長に大きく貢献するホットメルト接着剤の需要を増加させます。さらに、技術の進歩は、予測期間中の業界の成長に貢献する別の側面です。 </w:t>
      </w:r>
    </w:p>
    <w:p w14:paraId="2437A936" w14:textId="77777777" w:rsidR="00B1748C" w:rsidRDefault="00B1748C" w:rsidP="00B1748C">
      <w:pPr>
        <w:pStyle w:val="ListParagraph"/>
        <w:numPr>
          <w:ilvl w:val="0"/>
          <w:numId w:val="2"/>
        </w:numPr>
      </w:pPr>
      <w:r w:rsidRPr="00B1748C">
        <w:t xml:space="preserve">さらに、この地域には、市場の成長にプラスの影響を与える、小規模および大規模なさまざまなパーソナルケアおよび化粧品メーカーの存在も保持しています。 </w:t>
      </w:r>
    </w:p>
    <w:p w14:paraId="16841931" w14:textId="47F52FCD" w:rsidR="00B1748C" w:rsidRPr="00B1748C" w:rsidRDefault="00B1748C" w:rsidP="00B1748C">
      <w:pPr>
        <w:pStyle w:val="ListParagraph"/>
        <w:numPr>
          <w:ilvl w:val="0"/>
          <w:numId w:val="2"/>
        </w:numPr>
      </w:pPr>
      <w:r w:rsidRPr="00B1748C">
        <w:t>したがって、中国やインドなどの地域の主要経済圏全体での化粧品および包装製品の生産、消費、輸出の増加は、予測期間中に市場の成長にプラスの影響を与える可能性があります。</w:t>
      </w:r>
    </w:p>
    <w:p w14:paraId="6D6E2827" w14:textId="05047188" w:rsidR="00B1748C" w:rsidRPr="00B1748C" w:rsidRDefault="00B1748C" w:rsidP="00B1748C">
      <w:pPr>
        <w:rPr>
          <w:b/>
          <w:bCs/>
        </w:rPr>
      </w:pPr>
      <w:r w:rsidRPr="00B1748C">
        <w:rPr>
          <w:b/>
          <w:bCs/>
        </w:rPr>
        <w:t>ポリマーブレンドとバイオベースの代替品の革新</w:t>
      </w:r>
    </w:p>
    <w:p w14:paraId="4F998144" w14:textId="278EEB01" w:rsidR="00B1748C" w:rsidRPr="00B1748C" w:rsidRDefault="00B1748C" w:rsidP="00B1748C">
      <w:r w:rsidRPr="00B1748C">
        <w:t>メーカーは、ポリマーのブレンドと共重合技術を通じてワックス特性をカスタマイズすることに注力しています。これにより、印刷インキ、電子機器、テキスタイルなどの新たな用途が開かれました。さらに、性能を損なうことなく規制および環境基準を満たすためのバイオベースおよびハイブリッドワックスの代替品を開発するための研究開発投資が増加しています。</w:t>
      </w:r>
    </w:p>
    <w:p w14:paraId="4F00F7A7" w14:textId="77777777" w:rsidR="00B1748C" w:rsidRPr="00B1748C" w:rsidRDefault="00B1748C" w:rsidP="00B1748C">
      <w:pPr>
        <w:rPr>
          <w:b/>
          <w:bCs/>
        </w:rPr>
      </w:pPr>
      <w:r w:rsidRPr="00B1748C">
        <w:rPr>
          <w:b/>
          <w:bCs/>
        </w:rPr>
        <w:t>新興国経済の力強い成長</w:t>
      </w:r>
    </w:p>
    <w:p w14:paraId="1D53E681" w14:textId="53C1C6EE" w:rsidR="00B1748C" w:rsidRPr="00B1748C" w:rsidRDefault="00B1748C" w:rsidP="00B1748C">
      <w:r w:rsidRPr="00B1748C">
        <w:t>アジア太平洋地域の国々、特に中国とインドでは、工業化の進展、消費財の生産の増加、インフラ開発が進んでいます。これにより、塗料、コーティング、接着剤に含まれるポリマーワックスの需要が高まっています。また、この地域は主要な製造ハブとして浮上しており、グローバルプレーヤーを引き付けて事業を拡大しています。</w:t>
      </w:r>
    </w:p>
    <w:p w14:paraId="1A285C6C" w14:textId="77777777" w:rsidR="00B1748C" w:rsidRPr="00B1748C" w:rsidRDefault="00B1748C" w:rsidP="00B1748C">
      <w:pPr>
        <w:rPr>
          <w:b/>
          <w:bCs/>
        </w:rPr>
      </w:pPr>
      <w:r w:rsidRPr="00B1748C">
        <w:rPr>
          <w:b/>
          <w:bCs/>
        </w:rPr>
        <w:t>合成ポリマーワックス市場のトッププレーヤー</w:t>
      </w:r>
    </w:p>
    <w:p w14:paraId="196E565B" w14:textId="77777777" w:rsidR="00B1748C" w:rsidRPr="00B1748C" w:rsidRDefault="00B1748C" w:rsidP="00B1748C">
      <w:pPr>
        <w:pStyle w:val="ListParagraph"/>
        <w:numPr>
          <w:ilvl w:val="0"/>
          <w:numId w:val="3"/>
        </w:numPr>
      </w:pPr>
      <w:r w:rsidRPr="00B1748C">
        <w:t xml:space="preserve">BASF SE (ドイツ) </w:t>
      </w:r>
    </w:p>
    <w:p w14:paraId="38F3A099" w14:textId="77777777" w:rsidR="00B1748C" w:rsidRPr="00B1748C" w:rsidRDefault="00B1748C" w:rsidP="00B1748C">
      <w:pPr>
        <w:pStyle w:val="ListParagraph"/>
        <w:numPr>
          <w:ilvl w:val="0"/>
          <w:numId w:val="3"/>
        </w:numPr>
      </w:pPr>
      <w:r w:rsidRPr="00B1748C">
        <w:t xml:space="preserve">Clariant International Ltd.(スイス) </w:t>
      </w:r>
    </w:p>
    <w:p w14:paraId="7564E89E" w14:textId="77777777" w:rsidR="00B1748C" w:rsidRPr="00B1748C" w:rsidRDefault="00B1748C" w:rsidP="00B1748C">
      <w:pPr>
        <w:pStyle w:val="ListParagraph"/>
        <w:numPr>
          <w:ilvl w:val="0"/>
          <w:numId w:val="3"/>
        </w:numPr>
      </w:pPr>
      <w:r w:rsidRPr="00B1748C">
        <w:t xml:space="preserve">Honeywell International Inc.(米国) </w:t>
      </w:r>
    </w:p>
    <w:p w14:paraId="3B3CE9D6" w14:textId="77777777" w:rsidR="00B1748C" w:rsidRPr="00B1748C" w:rsidRDefault="00B1748C" w:rsidP="00B1748C">
      <w:pPr>
        <w:pStyle w:val="ListParagraph"/>
        <w:numPr>
          <w:ilvl w:val="0"/>
          <w:numId w:val="3"/>
        </w:numPr>
      </w:pPr>
      <w:r w:rsidRPr="00B1748C">
        <w:t xml:space="preserve">Evonik Industries AG(ドイツ) </w:t>
      </w:r>
    </w:p>
    <w:p w14:paraId="2AE39B13" w14:textId="77777777" w:rsidR="00B1748C" w:rsidRPr="00B1748C" w:rsidRDefault="00B1748C" w:rsidP="00B1748C">
      <w:pPr>
        <w:pStyle w:val="ListParagraph"/>
        <w:numPr>
          <w:ilvl w:val="0"/>
          <w:numId w:val="3"/>
        </w:numPr>
      </w:pPr>
      <w:r w:rsidRPr="00B1748C">
        <w:t xml:space="preserve">The Lubrizol Corporation (アメリカ) </w:t>
      </w:r>
    </w:p>
    <w:p w14:paraId="78C0E3B1" w14:textId="77777777" w:rsidR="00B1748C" w:rsidRPr="00B1748C" w:rsidRDefault="00B1748C" w:rsidP="00B1748C">
      <w:pPr>
        <w:pStyle w:val="ListParagraph"/>
        <w:numPr>
          <w:ilvl w:val="0"/>
          <w:numId w:val="3"/>
        </w:numPr>
      </w:pPr>
      <w:r w:rsidRPr="00B1748C">
        <w:t xml:space="preserve">Dow Inc.(米国) </w:t>
      </w:r>
    </w:p>
    <w:p w14:paraId="1AEBFB8F" w14:textId="77777777" w:rsidR="00B1748C" w:rsidRPr="00B1748C" w:rsidRDefault="00B1748C" w:rsidP="00B1748C">
      <w:pPr>
        <w:pStyle w:val="ListParagraph"/>
        <w:numPr>
          <w:ilvl w:val="0"/>
          <w:numId w:val="3"/>
        </w:numPr>
      </w:pPr>
      <w:r w:rsidRPr="00B1748C">
        <w:t xml:space="preserve">DuPont de Nemours, Inc.(米国) </w:t>
      </w:r>
    </w:p>
    <w:p w14:paraId="6A1E52F8" w14:textId="77777777" w:rsidR="00B1748C" w:rsidRPr="00B1748C" w:rsidRDefault="00B1748C" w:rsidP="00B1748C">
      <w:pPr>
        <w:pStyle w:val="ListParagraph"/>
        <w:numPr>
          <w:ilvl w:val="0"/>
          <w:numId w:val="3"/>
        </w:numPr>
      </w:pPr>
      <w:r w:rsidRPr="00B1748C">
        <w:t xml:space="preserve">Innospec Inc.(米国) </w:t>
      </w:r>
    </w:p>
    <w:p w14:paraId="2861F2E0" w14:textId="77777777" w:rsidR="00B1748C" w:rsidRPr="00B1748C" w:rsidRDefault="00B1748C" w:rsidP="00B1748C">
      <w:pPr>
        <w:pStyle w:val="ListParagraph"/>
        <w:numPr>
          <w:ilvl w:val="0"/>
          <w:numId w:val="3"/>
        </w:numPr>
      </w:pPr>
      <w:r w:rsidRPr="00B1748C">
        <w:t xml:space="preserve">エクソンモービルコーポレーション(米国) </w:t>
      </w:r>
    </w:p>
    <w:p w14:paraId="50AF3BBD" w14:textId="77777777" w:rsidR="00B1748C" w:rsidRPr="00B1748C" w:rsidRDefault="00B1748C" w:rsidP="00B1748C">
      <w:pPr>
        <w:pStyle w:val="ListParagraph"/>
        <w:numPr>
          <w:ilvl w:val="0"/>
          <w:numId w:val="3"/>
        </w:numPr>
      </w:pPr>
      <w:r w:rsidRPr="00B1748C">
        <w:lastRenderedPageBreak/>
        <w:t xml:space="preserve">3M社(米国) </w:t>
      </w:r>
    </w:p>
    <w:p w14:paraId="6D939C9F" w14:textId="77777777" w:rsidR="00B1748C" w:rsidRPr="00B1748C" w:rsidRDefault="00B1748C" w:rsidP="00B1748C">
      <w:pPr>
        <w:pStyle w:val="ListParagraph"/>
        <w:numPr>
          <w:ilvl w:val="0"/>
          <w:numId w:val="3"/>
        </w:numPr>
      </w:pPr>
      <w:r w:rsidRPr="00B1748C">
        <w:t xml:space="preserve">三井化学株式会社(日本) </w:t>
      </w:r>
    </w:p>
    <w:p w14:paraId="52EC6D3B" w14:textId="77777777" w:rsidR="00B1748C" w:rsidRPr="00B1748C" w:rsidRDefault="00B1748C" w:rsidP="00B1748C">
      <w:pPr>
        <w:pStyle w:val="ListParagraph"/>
        <w:numPr>
          <w:ilvl w:val="0"/>
          <w:numId w:val="3"/>
        </w:numPr>
      </w:pPr>
      <w:r w:rsidRPr="00B1748C">
        <w:t xml:space="preserve">LG Chem Ltd.(韓国) </w:t>
      </w:r>
    </w:p>
    <w:p w14:paraId="532758CF" w14:textId="77777777" w:rsidR="00B1748C" w:rsidRPr="00B1748C" w:rsidRDefault="00B1748C" w:rsidP="00B1748C">
      <w:pPr>
        <w:pStyle w:val="ListParagraph"/>
        <w:numPr>
          <w:ilvl w:val="0"/>
          <w:numId w:val="3"/>
        </w:numPr>
      </w:pPr>
      <w:r w:rsidRPr="00B1748C">
        <w:t xml:space="preserve">SCG Chemicals Co., Ltd.(タイ) </w:t>
      </w:r>
    </w:p>
    <w:p w14:paraId="2786D804" w14:textId="77777777" w:rsidR="00B1748C" w:rsidRPr="00B1748C" w:rsidRDefault="00B1748C" w:rsidP="00B1748C">
      <w:pPr>
        <w:pStyle w:val="ListParagraph"/>
        <w:numPr>
          <w:ilvl w:val="0"/>
          <w:numId w:val="3"/>
        </w:numPr>
      </w:pPr>
      <w:r w:rsidRPr="00B1748C">
        <w:t xml:space="preserve">ベーカーヒューズカンパニー(米国) </w:t>
      </w:r>
    </w:p>
    <w:p w14:paraId="7B19CA9F" w14:textId="77777777" w:rsidR="00B1748C" w:rsidRPr="00B1748C" w:rsidRDefault="00B1748C" w:rsidP="00B1748C">
      <w:pPr>
        <w:pStyle w:val="ListParagraph"/>
        <w:numPr>
          <w:ilvl w:val="0"/>
          <w:numId w:val="3"/>
        </w:numPr>
      </w:pPr>
      <w:proofErr w:type="spellStart"/>
      <w:r w:rsidRPr="00B1748C">
        <w:t>トレコラリソース</w:t>
      </w:r>
      <w:proofErr w:type="spellEnd"/>
      <w:r w:rsidRPr="00B1748C">
        <w:t>(</w:t>
      </w:r>
      <w:proofErr w:type="spellStart"/>
      <w:r w:rsidRPr="00B1748C">
        <w:t>米国</w:t>
      </w:r>
      <w:proofErr w:type="spellEnd"/>
      <w:r w:rsidRPr="00B1748C">
        <w:t xml:space="preserve">) </w:t>
      </w:r>
    </w:p>
    <w:p w14:paraId="277F264E" w14:textId="77777777" w:rsidR="00B1748C" w:rsidRPr="00B1748C" w:rsidRDefault="00B1748C" w:rsidP="00B1748C">
      <w:pPr>
        <w:pStyle w:val="ListParagraph"/>
        <w:numPr>
          <w:ilvl w:val="0"/>
          <w:numId w:val="3"/>
        </w:numPr>
      </w:pPr>
      <w:r w:rsidRPr="00B1748C">
        <w:t xml:space="preserve">Croda International Plc (イギリス) </w:t>
      </w:r>
    </w:p>
    <w:p w14:paraId="53ED5195" w14:textId="77777777" w:rsidR="00B1748C" w:rsidRPr="00B1748C" w:rsidRDefault="00B1748C" w:rsidP="00B1748C">
      <w:pPr>
        <w:pStyle w:val="ListParagraph"/>
        <w:numPr>
          <w:ilvl w:val="0"/>
          <w:numId w:val="3"/>
        </w:numPr>
      </w:pPr>
      <w:r w:rsidRPr="00B1748C">
        <w:t xml:space="preserve">花王株式会社(日本) </w:t>
      </w:r>
    </w:p>
    <w:p w14:paraId="525F9366" w14:textId="77777777" w:rsidR="00B1748C" w:rsidRPr="00B1748C" w:rsidRDefault="00B1748C" w:rsidP="00B1748C">
      <w:pPr>
        <w:pStyle w:val="ListParagraph"/>
        <w:numPr>
          <w:ilvl w:val="0"/>
          <w:numId w:val="3"/>
        </w:numPr>
      </w:pPr>
      <w:r w:rsidRPr="00B1748C">
        <w:t xml:space="preserve">Sasol Limited(南アフリカ) </w:t>
      </w:r>
    </w:p>
    <w:p w14:paraId="37A69AD4" w14:textId="77777777" w:rsidR="00B1748C" w:rsidRPr="00B1748C" w:rsidRDefault="00B1748C" w:rsidP="00B1748C">
      <w:pPr>
        <w:pStyle w:val="ListParagraph"/>
        <w:numPr>
          <w:ilvl w:val="0"/>
          <w:numId w:val="3"/>
        </w:numPr>
      </w:pPr>
      <w:r w:rsidRPr="00B1748C">
        <w:t xml:space="preserve">Wacker Chemie AG(ドイツ) </w:t>
      </w:r>
    </w:p>
    <w:p w14:paraId="0257D4F5" w14:textId="0D8E8AA4" w:rsidR="004D40C5" w:rsidRDefault="00B1748C" w:rsidP="00B1748C">
      <w:pPr>
        <w:pStyle w:val="ListParagraph"/>
        <w:numPr>
          <w:ilvl w:val="0"/>
          <w:numId w:val="3"/>
        </w:numPr>
      </w:pPr>
      <w:r w:rsidRPr="00B1748C">
        <w:t>Arkema S.A. (フランス)</w:t>
      </w:r>
    </w:p>
    <w:p w14:paraId="1AAB2535" w14:textId="77777777" w:rsidR="00B1748C" w:rsidRPr="00B1748C" w:rsidRDefault="00B1748C" w:rsidP="00B1748C">
      <w:pPr>
        <w:rPr>
          <w:b/>
          <w:bCs/>
        </w:rPr>
      </w:pPr>
      <w:r w:rsidRPr="00B1748C">
        <w:rPr>
          <w:b/>
          <w:bCs/>
        </w:rPr>
        <w:t>合成ポリマーワックス市場 最近の動向</w:t>
      </w:r>
    </w:p>
    <w:p w14:paraId="32BF2AC9" w14:textId="77777777" w:rsidR="00B1748C" w:rsidRDefault="00B1748C" w:rsidP="00B1748C">
      <w:pPr>
        <w:pStyle w:val="ListParagraph"/>
        <w:numPr>
          <w:ilvl w:val="0"/>
          <w:numId w:val="4"/>
        </w:numPr>
      </w:pPr>
      <w:r>
        <w:t>2021年8月、Sasol LimitedはDKSH Management Limited(スイス)と、ヨーロッパ市場におけるSasolの化学品およびワックス製品のマーケティング、流通、物流に関する販売契約を締結しました。</w:t>
      </w:r>
    </w:p>
    <w:p w14:paraId="6AD93443" w14:textId="77777777" w:rsidR="00B1748C" w:rsidRDefault="00B1748C" w:rsidP="00B1748C">
      <w:pPr>
        <w:pStyle w:val="ListParagraph"/>
        <w:numPr>
          <w:ilvl w:val="0"/>
          <w:numId w:val="4"/>
        </w:numPr>
      </w:pPr>
      <w:r>
        <w:t>2021年3月、Turtle Waxはインドでハイブリッドセラミックグラフェンペーストワックスを発売しました。新しいグラフェンペーストワックスは、ブランドの特許出願中のグラフェン技術を使用しています。Turtle Waxは、二酸化ケイ素、セラミック、グラフェンを注入する10種類のワックスをブレンドしたものであると主張しています。</w:t>
      </w:r>
    </w:p>
    <w:p w14:paraId="29B6E6FA" w14:textId="77777777" w:rsidR="00B1748C" w:rsidRPr="00B1748C" w:rsidRDefault="00B1748C" w:rsidP="00B1748C">
      <w:pPr>
        <w:rPr>
          <w:b/>
          <w:bCs/>
        </w:rPr>
      </w:pPr>
      <w:r w:rsidRPr="00B1748C">
        <w:rPr>
          <w:b/>
          <w:bCs/>
        </w:rPr>
        <w:t>合成ポリマーワックス:主な市場動向</w:t>
      </w:r>
    </w:p>
    <w:p w14:paraId="68C7C961" w14:textId="77777777" w:rsidR="00B1748C" w:rsidRDefault="00B1748C" w:rsidP="00B1748C">
      <w:pPr>
        <w:pStyle w:val="ListParagraph"/>
        <w:numPr>
          <w:ilvl w:val="0"/>
          <w:numId w:val="5"/>
        </w:numPr>
      </w:pPr>
      <w:r>
        <w:t>化粧品業界やパーソナルケア業界は、より多くの人々が自分の見た目を改善し、美しく見えるように努力するにつれて急速に拡大しています。合成ポリマーワックスの市場は、ソーシャルメディアの支配の拡大と、特に南アジア諸国でのプラットフォーム上で美しく見えるという願望によってさらに促進された拡大によって大きな影響を受けています。</w:t>
      </w:r>
    </w:p>
    <w:p w14:paraId="3E54A69B" w14:textId="53856FCB" w:rsidR="00B1748C" w:rsidRDefault="00B1748C" w:rsidP="00B1748C">
      <w:pPr>
        <w:pStyle w:val="ListParagraph"/>
        <w:numPr>
          <w:ilvl w:val="0"/>
          <w:numId w:val="5"/>
        </w:numPr>
      </w:pPr>
      <w:r>
        <w:t>パラフィンは、高い吸熱能力と保温能力を備えています。パラフィンは融点が低いため、火傷を負うことなく皮膚に塗布できます。その結果、パラフィンバスは、血液循環を改善し、関節痛を和らげる最も効果的な方法の1つです。</w:t>
      </w:r>
    </w:p>
    <w:p w14:paraId="639CFCD2" w14:textId="5083C369" w:rsidR="00B1748C" w:rsidRPr="00B1748C" w:rsidRDefault="00B1748C" w:rsidP="00B1748C">
      <w:r>
        <w:t xml:space="preserve">レポート全文を見る: </w:t>
      </w:r>
      <w:hyperlink r:id="rId6" w:history="1">
        <w:r w:rsidRPr="001803F8">
          <w:rPr>
            <w:rStyle w:val="Hyperlink"/>
          </w:rPr>
          <w:t>https://www.skyquestt.com/report/synthetic-polymer-waxes-market</w:t>
        </w:r>
      </w:hyperlink>
      <w:r>
        <w:t xml:space="preserve"> </w:t>
      </w:r>
    </w:p>
    <w:sectPr w:rsidR="00B1748C" w:rsidRPr="00B1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6F1F"/>
    <w:multiLevelType w:val="hybridMultilevel"/>
    <w:tmpl w:val="887E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1DAE"/>
    <w:multiLevelType w:val="hybridMultilevel"/>
    <w:tmpl w:val="AA14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32837"/>
    <w:multiLevelType w:val="hybridMultilevel"/>
    <w:tmpl w:val="ECDC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72005"/>
    <w:multiLevelType w:val="hybridMultilevel"/>
    <w:tmpl w:val="43FE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57CBE"/>
    <w:multiLevelType w:val="hybridMultilevel"/>
    <w:tmpl w:val="BB68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534235">
    <w:abstractNumId w:val="4"/>
  </w:num>
  <w:num w:numId="2" w16cid:durableId="2135437311">
    <w:abstractNumId w:val="0"/>
  </w:num>
  <w:num w:numId="3" w16cid:durableId="862597757">
    <w:abstractNumId w:val="2"/>
  </w:num>
  <w:num w:numId="4" w16cid:durableId="1347251477">
    <w:abstractNumId w:val="1"/>
  </w:num>
  <w:num w:numId="5" w16cid:durableId="41269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C"/>
    <w:rsid w:val="001D01DB"/>
    <w:rsid w:val="0020622B"/>
    <w:rsid w:val="002456F9"/>
    <w:rsid w:val="00274CDA"/>
    <w:rsid w:val="004D40C5"/>
    <w:rsid w:val="00B1748C"/>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AD50"/>
  <w15:chartTrackingRefBased/>
  <w15:docId w15:val="{D1BF0379-8FC2-4880-8E16-41AB61F7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8C"/>
    <w:rPr>
      <w:rFonts w:eastAsiaTheme="majorEastAsia" w:cstheme="majorBidi"/>
      <w:color w:val="272727" w:themeColor="text1" w:themeTint="D8"/>
    </w:rPr>
  </w:style>
  <w:style w:type="paragraph" w:styleId="Title">
    <w:name w:val="Title"/>
    <w:basedOn w:val="Normal"/>
    <w:next w:val="Normal"/>
    <w:link w:val="TitleChar"/>
    <w:uiPriority w:val="10"/>
    <w:qFormat/>
    <w:rsid w:val="00B1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8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8C"/>
    <w:rPr>
      <w:i/>
      <w:iCs/>
      <w:color w:val="404040" w:themeColor="text1" w:themeTint="BF"/>
    </w:rPr>
  </w:style>
  <w:style w:type="paragraph" w:styleId="ListParagraph">
    <w:name w:val="List Paragraph"/>
    <w:basedOn w:val="Normal"/>
    <w:uiPriority w:val="34"/>
    <w:qFormat/>
    <w:rsid w:val="00B1748C"/>
    <w:pPr>
      <w:ind w:left="720"/>
      <w:contextualSpacing/>
    </w:pPr>
  </w:style>
  <w:style w:type="character" w:styleId="IntenseEmphasis">
    <w:name w:val="Intense Emphasis"/>
    <w:basedOn w:val="DefaultParagraphFont"/>
    <w:uiPriority w:val="21"/>
    <w:qFormat/>
    <w:rsid w:val="00B1748C"/>
    <w:rPr>
      <w:i/>
      <w:iCs/>
      <w:color w:val="2F5496" w:themeColor="accent1" w:themeShade="BF"/>
    </w:rPr>
  </w:style>
  <w:style w:type="paragraph" w:styleId="IntenseQuote">
    <w:name w:val="Intense Quote"/>
    <w:basedOn w:val="Normal"/>
    <w:next w:val="Normal"/>
    <w:link w:val="IntenseQuoteChar"/>
    <w:uiPriority w:val="30"/>
    <w:qFormat/>
    <w:rsid w:val="00B17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48C"/>
    <w:rPr>
      <w:i/>
      <w:iCs/>
      <w:color w:val="2F5496" w:themeColor="accent1" w:themeShade="BF"/>
    </w:rPr>
  </w:style>
  <w:style w:type="character" w:styleId="IntenseReference">
    <w:name w:val="Intense Reference"/>
    <w:basedOn w:val="DefaultParagraphFont"/>
    <w:uiPriority w:val="32"/>
    <w:qFormat/>
    <w:rsid w:val="00B1748C"/>
    <w:rPr>
      <w:b/>
      <w:bCs/>
      <w:smallCaps/>
      <w:color w:val="2F5496" w:themeColor="accent1" w:themeShade="BF"/>
      <w:spacing w:val="5"/>
    </w:rPr>
  </w:style>
  <w:style w:type="character" w:styleId="Hyperlink">
    <w:name w:val="Hyperlink"/>
    <w:basedOn w:val="DefaultParagraphFont"/>
    <w:uiPriority w:val="99"/>
    <w:unhideWhenUsed/>
    <w:rsid w:val="00B1748C"/>
    <w:rPr>
      <w:color w:val="0563C1" w:themeColor="hyperlink"/>
      <w:u w:val="single"/>
    </w:rPr>
  </w:style>
  <w:style w:type="character" w:styleId="UnresolvedMention">
    <w:name w:val="Unresolved Mention"/>
    <w:basedOn w:val="DefaultParagraphFont"/>
    <w:uiPriority w:val="99"/>
    <w:semiHidden/>
    <w:unhideWhenUsed/>
    <w:rsid w:val="00B1748C"/>
    <w:rPr>
      <w:color w:val="605E5C"/>
      <w:shd w:val="clear" w:color="auto" w:fill="E1DFDD"/>
    </w:rPr>
  </w:style>
  <w:style w:type="character" w:styleId="PlaceholderText">
    <w:name w:val="Placeholder Text"/>
    <w:basedOn w:val="DefaultParagraphFont"/>
    <w:uiPriority w:val="99"/>
    <w:semiHidden/>
    <w:rsid w:val="002062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0621">
      <w:bodyDiv w:val="1"/>
      <w:marLeft w:val="0"/>
      <w:marRight w:val="0"/>
      <w:marTop w:val="0"/>
      <w:marBottom w:val="0"/>
      <w:divBdr>
        <w:top w:val="none" w:sz="0" w:space="0" w:color="auto"/>
        <w:left w:val="none" w:sz="0" w:space="0" w:color="auto"/>
        <w:bottom w:val="none" w:sz="0" w:space="0" w:color="auto"/>
        <w:right w:val="none" w:sz="0" w:space="0" w:color="auto"/>
      </w:divBdr>
    </w:div>
    <w:div w:id="840237795">
      <w:bodyDiv w:val="1"/>
      <w:marLeft w:val="0"/>
      <w:marRight w:val="0"/>
      <w:marTop w:val="0"/>
      <w:marBottom w:val="0"/>
      <w:divBdr>
        <w:top w:val="none" w:sz="0" w:space="0" w:color="auto"/>
        <w:left w:val="none" w:sz="0" w:space="0" w:color="auto"/>
        <w:bottom w:val="none" w:sz="0" w:space="0" w:color="auto"/>
        <w:right w:val="none" w:sz="0" w:space="0" w:color="auto"/>
      </w:divBdr>
    </w:div>
    <w:div w:id="1326284401">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synthetic-polymer-waxes-market" TargetMode="External"/><Relationship Id="rId5" Type="http://schemas.openxmlformats.org/officeDocument/2006/relationships/hyperlink" Target="https://www.skyquestt.com/sample-request/synthetic-polymer-waxe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2025-07-20T19:07:00Z</dcterms:created>
  <dcterms:modified xsi:type="dcterms:W3CDTF">2025-07-20T19:13:00Z</dcterms:modified>
</cp:coreProperties>
</file>