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1689" w14:textId="161BF34C" w:rsidR="003418CE" w:rsidRPr="00FF4655" w:rsidRDefault="003418CE" w:rsidP="003418CE">
      <w:proofErr w:type="spellStart"/>
      <w:r w:rsidRPr="00FF4655">
        <w:rPr>
          <w:b/>
          <w:bCs/>
        </w:rPr>
        <w:t>分子診断市場</w:t>
      </w:r>
      <w:proofErr w:type="spellEnd"/>
      <w:r w:rsidRPr="00FF4655">
        <w:rPr>
          <w:b/>
          <w:bCs/>
        </w:rPr>
        <w:t xml:space="preserve">: </w:t>
      </w:r>
      <w:proofErr w:type="spellStart"/>
      <w:r w:rsidRPr="00FF4655">
        <w:rPr>
          <w:b/>
          <w:bCs/>
        </w:rPr>
        <w:t>精密医療と迅速な疾患検出の推進</w:t>
      </w:r>
      <w:proofErr w:type="spellEnd"/>
    </w:p>
    <w:p w14:paraId="09464769" w14:textId="77777777" w:rsidR="003418CE" w:rsidRDefault="003418CE" w:rsidP="003418CE">
      <w:r w:rsidRPr="00FF4655">
        <w:t>世界の分子診断市場は、技術の進歩、新技術の開発、感染症の症例数の増加、個別化医療の利用により、大きな成長の可能性を秘めています。分子診断には、遺伝子マーカー、タンパク質、その他の分析物に至るまでの疾患生体分子の検出と特性評価が含まれます。</w:t>
      </w:r>
    </w:p>
    <w:p w14:paraId="682E3F1D" w14:textId="77777777" w:rsidR="003418CE" w:rsidRPr="00FF4655" w:rsidRDefault="003418CE" w:rsidP="003418CE">
      <w:pPr>
        <w:rPr>
          <w:b/>
          <w:bCs/>
        </w:rPr>
      </w:pPr>
      <w:r w:rsidRPr="00FF4655">
        <w:rPr>
          <w:b/>
          <w:bCs/>
        </w:rPr>
        <w:t>世界の分子診断市場規模は、2023年に158億米ドルと評価され、2024年の168億9,000万米ドルから2032年までに288億米ドルに成長し、予測期間(2025年から2032年)中に6.9%のCAGRで成長する見込みです。</w:t>
      </w:r>
    </w:p>
    <w:p w14:paraId="51382FAC" w14:textId="77777777" w:rsidR="003418CE" w:rsidRDefault="003418CE" w:rsidP="003418CE">
      <w:r>
        <w:t xml:space="preserve">今すぐ無料サンプルを入手してください: </w:t>
      </w:r>
      <w:hyperlink r:id="rId5" w:history="1">
        <w:r w:rsidRPr="00704D10">
          <w:rPr>
            <w:rStyle w:val="Hyperlink"/>
          </w:rPr>
          <w:t>https://www.skyquestt.com/sample-request/molecular-diagnostics-market</w:t>
        </w:r>
      </w:hyperlink>
      <w:r>
        <w:t xml:space="preserve"> </w:t>
      </w:r>
    </w:p>
    <w:p w14:paraId="7389C827" w14:textId="77777777" w:rsidR="003418CE" w:rsidRPr="00FF4655" w:rsidRDefault="003418CE" w:rsidP="003418CE">
      <w:pPr>
        <w:rPr>
          <w:b/>
          <w:bCs/>
        </w:rPr>
      </w:pPr>
      <w:r w:rsidRPr="00FF4655">
        <w:rPr>
          <w:b/>
          <w:bCs/>
        </w:rPr>
        <w:t>主な市場推進力</w:t>
      </w:r>
    </w:p>
    <w:p w14:paraId="07D064E0" w14:textId="77777777" w:rsidR="003418CE" w:rsidRPr="00FF4655" w:rsidRDefault="003418CE" w:rsidP="003418CE">
      <w:pPr>
        <w:numPr>
          <w:ilvl w:val="0"/>
          <w:numId w:val="1"/>
        </w:numPr>
      </w:pPr>
      <w:r w:rsidRPr="00FF4655">
        <w:rPr>
          <w:b/>
          <w:bCs/>
        </w:rPr>
        <w:t>技術の進歩</w:t>
      </w:r>
      <w:r w:rsidRPr="00FF4655">
        <w:t xml:space="preserve">: ポリメラーゼ連鎖反応 (PCR)、次世代シーケンシング (NGS)、マイクロアレイ技術などのイノベーションにより、分子診断の精度、感度、速度が向上し、病気の早期発見と個別化された治療計画が容易になりました。 </w:t>
      </w:r>
    </w:p>
    <w:p w14:paraId="60BA9DA5" w14:textId="77777777" w:rsidR="003418CE" w:rsidRPr="00FF4655" w:rsidRDefault="003418CE" w:rsidP="003418CE">
      <w:pPr>
        <w:numPr>
          <w:ilvl w:val="0"/>
          <w:numId w:val="1"/>
        </w:numPr>
      </w:pPr>
      <w:r w:rsidRPr="00FF4655">
        <w:rPr>
          <w:b/>
          <w:bCs/>
        </w:rPr>
        <w:t>感染症と遺伝性疾患の有病率の上昇</w:t>
      </w:r>
      <w:r w:rsidRPr="00FF4655">
        <w:t xml:space="preserve">: HIV/AIDS、肝炎、結核、さまざまな遺伝性疾患などの疾患の発生率の増加により、正確かつ迅速な診断ツールの必要性が高まっています。 </w:t>
      </w:r>
    </w:p>
    <w:p w14:paraId="723EAC96" w14:textId="77777777" w:rsidR="003418CE" w:rsidRPr="00FF4655" w:rsidRDefault="003418CE" w:rsidP="003418CE">
      <w:pPr>
        <w:numPr>
          <w:ilvl w:val="0"/>
          <w:numId w:val="1"/>
        </w:numPr>
      </w:pPr>
      <w:r w:rsidRPr="00FF4655">
        <w:rPr>
          <w:b/>
          <w:bCs/>
        </w:rPr>
        <w:t>ポイントオブケア検査 (POCT) への移行</w:t>
      </w:r>
      <w:r w:rsidRPr="00FF4655">
        <w:t xml:space="preserve">: 迅速なオンサイト診断ソリューションへの需要により、ポータブル分子診断装置が開発され、さまざまな医療現場でのタイムリーな意思決定が可能になりました。 </w:t>
      </w:r>
    </w:p>
    <w:p w14:paraId="696FFB0A" w14:textId="77777777" w:rsidR="003418CE" w:rsidRPr="00FF4655" w:rsidRDefault="003418CE" w:rsidP="003418CE">
      <w:pPr>
        <w:rPr>
          <w:b/>
          <w:bCs/>
        </w:rPr>
      </w:pPr>
      <w:r w:rsidRPr="00FF4655">
        <w:rPr>
          <w:b/>
          <w:bCs/>
        </w:rPr>
        <w:t>市場セグメンテーション</w:t>
      </w:r>
    </w:p>
    <w:p w14:paraId="7983EF37" w14:textId="77777777" w:rsidR="003418CE" w:rsidRDefault="003418CE" w:rsidP="003418CE">
      <w:r w:rsidRPr="003418CE">
        <w:t xml:space="preserve">世界の分子診断市場は、製品、検査タイプ、サンプルタイプ、技術、アプリケーション、エンドユーザー、地域によって区分される。 </w:t>
      </w:r>
    </w:p>
    <w:p w14:paraId="517B442D" w14:textId="77777777" w:rsidR="003418CE" w:rsidRDefault="003418CE" w:rsidP="003418CE">
      <w:pPr>
        <w:pStyle w:val="ListParagraph"/>
        <w:numPr>
          <w:ilvl w:val="0"/>
          <w:numId w:val="10"/>
        </w:numPr>
      </w:pPr>
      <w:r w:rsidRPr="003418CE">
        <w:t xml:space="preserve">製品別では、市場は試薬・キット、機器・サービス・ソフトウェアに区分される。 </w:t>
      </w:r>
    </w:p>
    <w:p w14:paraId="100F4700" w14:textId="77777777" w:rsidR="003418CE" w:rsidRDefault="003418CE" w:rsidP="003418CE">
      <w:pPr>
        <w:pStyle w:val="ListParagraph"/>
        <w:numPr>
          <w:ilvl w:val="0"/>
          <w:numId w:val="10"/>
        </w:numPr>
      </w:pPr>
      <w:r w:rsidRPr="003418CE">
        <w:t xml:space="preserve">テストタイプに基づいて、市場はラボテストとPOCテストに分類されます。 </w:t>
      </w:r>
    </w:p>
    <w:p w14:paraId="30D427AC" w14:textId="77777777" w:rsidR="003418CE" w:rsidRDefault="003418CE" w:rsidP="003418CE">
      <w:pPr>
        <w:pStyle w:val="ListParagraph"/>
        <w:numPr>
          <w:ilvl w:val="0"/>
          <w:numId w:val="10"/>
        </w:numPr>
      </w:pPr>
      <w:r w:rsidRPr="003418CE">
        <w:t xml:space="preserve">サンプルタイプに基づいて、市場は血液、血清、血漿、尿、その他のサンプルタイプに分類されます。 </w:t>
      </w:r>
    </w:p>
    <w:p w14:paraId="42074A5E" w14:textId="77777777" w:rsidR="003418CE" w:rsidRDefault="003418CE" w:rsidP="003418CE">
      <w:pPr>
        <w:pStyle w:val="ListParagraph"/>
        <w:numPr>
          <w:ilvl w:val="0"/>
          <w:numId w:val="10"/>
        </w:numPr>
      </w:pPr>
      <w:r w:rsidRPr="003418CE">
        <w:t xml:space="preserve">技術別では、市場はポリメラーゼ連鎖反応、等温核酸増幅技術、DNAシーケンシング&amp;次世代シーケンシング、in situハイブリダイゼーション、DNAマイクロアレイ、その他の技術に区分される。 </w:t>
      </w:r>
    </w:p>
    <w:p w14:paraId="611E9C1C" w14:textId="77777777" w:rsidR="003418CE" w:rsidRDefault="003418CE" w:rsidP="003418CE">
      <w:pPr>
        <w:pStyle w:val="ListParagraph"/>
        <w:numPr>
          <w:ilvl w:val="0"/>
          <w:numId w:val="10"/>
        </w:numPr>
      </w:pPr>
      <w:r w:rsidRPr="003418CE">
        <w:lastRenderedPageBreak/>
        <w:t xml:space="preserve">アプリケーションに基づいて、市場は感染症診断、腫瘍学検査、遺伝子検査、その他の用途に分類されます。 </w:t>
      </w:r>
    </w:p>
    <w:p w14:paraId="376EAEED" w14:textId="77777777" w:rsidR="003418CE" w:rsidRDefault="003418CE" w:rsidP="003418CE">
      <w:pPr>
        <w:pStyle w:val="ListParagraph"/>
        <w:numPr>
          <w:ilvl w:val="0"/>
          <w:numId w:val="10"/>
        </w:numPr>
      </w:pPr>
      <w:r w:rsidRPr="003418CE">
        <w:t xml:space="preserve">エンドユーザーに基づいて、市場は診断研究所、病院および診療所、その他のエンドユーザーに分類されます。 </w:t>
      </w:r>
    </w:p>
    <w:p w14:paraId="26E8AB97" w14:textId="6E57C007" w:rsidR="003418CE" w:rsidRPr="00FF4655" w:rsidRDefault="003418CE" w:rsidP="003418CE">
      <w:pPr>
        <w:pStyle w:val="ListParagraph"/>
        <w:numPr>
          <w:ilvl w:val="0"/>
          <w:numId w:val="10"/>
        </w:numPr>
      </w:pPr>
      <w:r w:rsidRPr="003418CE">
        <w:t>地域に基づいて、市場は北米、ヨーロッパ、アジア太平洋、ラテンアメリカ、中東とアフリカに分割されます。</w:t>
      </w:r>
    </w:p>
    <w:p w14:paraId="3507913A" w14:textId="20E11376" w:rsidR="003418CE" w:rsidRDefault="003418CE" w:rsidP="003418CE">
      <w:pPr>
        <w:rPr>
          <w:b/>
          <w:bCs/>
        </w:rPr>
      </w:pPr>
      <w:r w:rsidRPr="003418CE">
        <w:rPr>
          <w:b/>
          <w:bCs/>
        </w:rPr>
        <w:t xml:space="preserve">このレポートをカスタマイズしたいですか? </w:t>
      </w:r>
      <w:hyperlink r:id="rId6" w:history="1">
        <w:r w:rsidRPr="00076BD5">
          <w:rPr>
            <w:rStyle w:val="Hyperlink"/>
            <w:b/>
            <w:bCs/>
          </w:rPr>
          <w:t>https://www.skyquestt.com/speak-with-analyst/molecular-diagnostics-market</w:t>
        </w:r>
      </w:hyperlink>
      <w:r>
        <w:rPr>
          <w:b/>
          <w:bCs/>
        </w:rPr>
        <w:t xml:space="preserve"> </w:t>
      </w:r>
    </w:p>
    <w:p w14:paraId="470B97BF" w14:textId="2C39809B" w:rsidR="003418CE" w:rsidRPr="00FF4655" w:rsidRDefault="003418CE" w:rsidP="003418CE">
      <w:pPr>
        <w:rPr>
          <w:b/>
          <w:bCs/>
        </w:rPr>
      </w:pPr>
      <w:r w:rsidRPr="00FF4655">
        <w:rPr>
          <w:b/>
          <w:bCs/>
        </w:rPr>
        <w:t>地域の洞察</w:t>
      </w:r>
    </w:p>
    <w:p w14:paraId="22C956B3" w14:textId="77777777" w:rsidR="003418CE" w:rsidRPr="00FF4655" w:rsidRDefault="003418CE" w:rsidP="003418CE">
      <w:pPr>
        <w:numPr>
          <w:ilvl w:val="0"/>
          <w:numId w:val="8"/>
        </w:numPr>
      </w:pPr>
      <w:r w:rsidRPr="00FF4655">
        <w:rPr>
          <w:b/>
          <w:bCs/>
        </w:rPr>
        <w:t>北米</w:t>
      </w:r>
      <w:r w:rsidRPr="00FF4655">
        <w:t xml:space="preserve">: 高度な医療インフラ、革新的な診断技術の採用率の高さ、研究開発への多額の投資により、2023 年に最大の市場シェアを保持しました。 </w:t>
      </w:r>
    </w:p>
    <w:p w14:paraId="210FE27A" w14:textId="77777777" w:rsidR="003418CE" w:rsidRPr="00FF4655" w:rsidRDefault="003418CE" w:rsidP="003418CE">
      <w:pPr>
        <w:numPr>
          <w:ilvl w:val="0"/>
          <w:numId w:val="8"/>
        </w:numPr>
      </w:pPr>
      <w:r w:rsidRPr="00FF4655">
        <w:rPr>
          <w:b/>
          <w:bCs/>
        </w:rPr>
        <w:t>アジア太平洋</w:t>
      </w:r>
      <w:r w:rsidRPr="00FF4655">
        <w:t xml:space="preserve">地域: 医療費の増加、病気の早期発見に対する意識の高まり、医療インフラの拡大により、予測期間中に最も急速な成長が見込まれます。 </w:t>
      </w:r>
    </w:p>
    <w:p w14:paraId="797026CD" w14:textId="77777777" w:rsidR="003418CE" w:rsidRPr="00FF4655" w:rsidRDefault="003418CE" w:rsidP="003418CE">
      <w:pPr>
        <w:rPr>
          <w:b/>
          <w:bCs/>
        </w:rPr>
      </w:pPr>
      <w:r w:rsidRPr="00FF4655">
        <w:rPr>
          <w:b/>
          <w:bCs/>
        </w:rPr>
        <w:t>キープレーヤー</w:t>
      </w:r>
    </w:p>
    <w:p w14:paraId="142E668B" w14:textId="77777777" w:rsidR="003418CE" w:rsidRDefault="003418CE" w:rsidP="003418CE">
      <w:r w:rsidRPr="00FF4655">
        <w:t>分子診断市場の著名な企業は次のとおりです。</w:t>
      </w:r>
    </w:p>
    <w:p w14:paraId="5C0C76EA" w14:textId="77777777" w:rsidR="003418CE" w:rsidRDefault="003418CE" w:rsidP="003418CE">
      <w:pPr>
        <w:pStyle w:val="ListParagraph"/>
        <w:numPr>
          <w:ilvl w:val="0"/>
          <w:numId w:val="11"/>
        </w:numPr>
      </w:pPr>
      <w:r>
        <w:t>F. Hoffmann-La Roche Ltd. (スイス)</w:t>
      </w:r>
    </w:p>
    <w:p w14:paraId="653AE65E" w14:textId="77777777" w:rsidR="003418CE" w:rsidRDefault="003418CE" w:rsidP="003418CE">
      <w:pPr>
        <w:pStyle w:val="ListParagraph"/>
        <w:numPr>
          <w:ilvl w:val="0"/>
          <w:numId w:val="11"/>
        </w:numPr>
      </w:pPr>
      <w:r>
        <w:t>Hologic, Inc. (米国)</w:t>
      </w:r>
    </w:p>
    <w:p w14:paraId="1FA48B8D" w14:textId="77777777" w:rsidR="003418CE" w:rsidRDefault="003418CE" w:rsidP="003418CE">
      <w:pPr>
        <w:pStyle w:val="ListParagraph"/>
        <w:numPr>
          <w:ilvl w:val="0"/>
          <w:numId w:val="11"/>
        </w:numPr>
      </w:pPr>
      <w:r>
        <w:t>アボット・ラボラトリーズ(米国)</w:t>
      </w:r>
    </w:p>
    <w:p w14:paraId="068A6D2E" w14:textId="77777777" w:rsidR="003418CE" w:rsidRDefault="003418CE" w:rsidP="003418CE">
      <w:pPr>
        <w:pStyle w:val="ListParagraph"/>
        <w:numPr>
          <w:ilvl w:val="0"/>
          <w:numId w:val="11"/>
        </w:numPr>
      </w:pPr>
      <w:r>
        <w:t>イルミナ社(米国)</w:t>
      </w:r>
    </w:p>
    <w:p w14:paraId="078B1FBB" w14:textId="77777777" w:rsidR="003418CE" w:rsidRDefault="003418CE" w:rsidP="003418CE">
      <w:pPr>
        <w:pStyle w:val="ListParagraph"/>
        <w:numPr>
          <w:ilvl w:val="0"/>
          <w:numId w:val="11"/>
        </w:numPr>
      </w:pPr>
      <w:proofErr w:type="spellStart"/>
      <w:r>
        <w:t>サーモフィッシャーサイエンティフィック社</w:t>
      </w:r>
      <w:proofErr w:type="spellEnd"/>
      <w:r>
        <w:t>(</w:t>
      </w:r>
      <w:proofErr w:type="spellStart"/>
      <w:r>
        <w:t>米国</w:t>
      </w:r>
      <w:proofErr w:type="spellEnd"/>
      <w:r>
        <w:t>)</w:t>
      </w:r>
    </w:p>
    <w:p w14:paraId="7F4D0E3D" w14:textId="77777777" w:rsidR="003418CE" w:rsidRDefault="003418CE" w:rsidP="003418CE">
      <w:pPr>
        <w:pStyle w:val="ListParagraph"/>
        <w:numPr>
          <w:ilvl w:val="0"/>
          <w:numId w:val="11"/>
        </w:numPr>
      </w:pPr>
      <w:proofErr w:type="spellStart"/>
      <w:r>
        <w:t>bioMerieux</w:t>
      </w:r>
      <w:proofErr w:type="spellEnd"/>
      <w:r>
        <w:t xml:space="preserve"> (</w:t>
      </w:r>
      <w:proofErr w:type="spellStart"/>
      <w:r>
        <w:t>フランス</w:t>
      </w:r>
      <w:proofErr w:type="spellEnd"/>
      <w:r>
        <w:t>)</w:t>
      </w:r>
    </w:p>
    <w:p w14:paraId="4A283B09" w14:textId="77777777" w:rsidR="003418CE" w:rsidRDefault="003418CE" w:rsidP="003418CE">
      <w:pPr>
        <w:pStyle w:val="ListParagraph"/>
        <w:numPr>
          <w:ilvl w:val="0"/>
          <w:numId w:val="11"/>
        </w:numPr>
      </w:pPr>
      <w:r>
        <w:t>QIAGEN (オランダ)</w:t>
      </w:r>
    </w:p>
    <w:p w14:paraId="046DB24C" w14:textId="77777777" w:rsidR="003418CE" w:rsidRDefault="003418CE" w:rsidP="003418CE">
      <w:pPr>
        <w:pStyle w:val="ListParagraph"/>
        <w:numPr>
          <w:ilvl w:val="0"/>
          <w:numId w:val="11"/>
        </w:numPr>
      </w:pPr>
      <w:r>
        <w:t>ベクトン・ディキンソン・アンド・カンパニー(米国)</w:t>
      </w:r>
    </w:p>
    <w:p w14:paraId="7F5DC1E8" w14:textId="77777777" w:rsidR="003418CE" w:rsidRDefault="003418CE" w:rsidP="003418CE">
      <w:pPr>
        <w:pStyle w:val="ListParagraph"/>
        <w:numPr>
          <w:ilvl w:val="0"/>
          <w:numId w:val="11"/>
        </w:numPr>
      </w:pPr>
      <w:r>
        <w:t>Grifols S.A.(スペイン)</w:t>
      </w:r>
    </w:p>
    <w:p w14:paraId="4AE4D93E" w14:textId="77777777" w:rsidR="003418CE" w:rsidRDefault="003418CE" w:rsidP="003418CE">
      <w:pPr>
        <w:pStyle w:val="ListParagraph"/>
        <w:numPr>
          <w:ilvl w:val="0"/>
          <w:numId w:val="11"/>
        </w:numPr>
      </w:pPr>
      <w:r>
        <w:t>Bio-Rad Laboratories, Inc. (米国)</w:t>
      </w:r>
    </w:p>
    <w:p w14:paraId="486EF205" w14:textId="77777777" w:rsidR="003418CE" w:rsidRDefault="003418CE" w:rsidP="003418CE">
      <w:pPr>
        <w:pStyle w:val="ListParagraph"/>
        <w:numPr>
          <w:ilvl w:val="0"/>
          <w:numId w:val="11"/>
        </w:numPr>
      </w:pPr>
      <w:r>
        <w:t>シスメックス株式会社(日本)</w:t>
      </w:r>
    </w:p>
    <w:p w14:paraId="63478321" w14:textId="77777777" w:rsidR="003418CE" w:rsidRDefault="003418CE" w:rsidP="003418CE">
      <w:pPr>
        <w:pStyle w:val="ListParagraph"/>
        <w:numPr>
          <w:ilvl w:val="0"/>
          <w:numId w:val="11"/>
        </w:numPr>
      </w:pPr>
      <w:r>
        <w:t>クイデルコーポレーション(米国)</w:t>
      </w:r>
    </w:p>
    <w:p w14:paraId="497E769C" w14:textId="77777777" w:rsidR="003418CE" w:rsidRDefault="003418CE" w:rsidP="003418CE">
      <w:pPr>
        <w:pStyle w:val="ListParagraph"/>
        <w:numPr>
          <w:ilvl w:val="0"/>
          <w:numId w:val="11"/>
        </w:numPr>
      </w:pPr>
      <w:proofErr w:type="spellStart"/>
      <w:r>
        <w:t>Biocartis</w:t>
      </w:r>
      <w:proofErr w:type="spellEnd"/>
      <w:r>
        <w:t>(</w:t>
      </w:r>
      <w:proofErr w:type="spellStart"/>
      <w:r>
        <w:t>ベルギ</w:t>
      </w:r>
      <w:proofErr w:type="spellEnd"/>
      <w:r>
        <w:t>ー)</w:t>
      </w:r>
    </w:p>
    <w:p w14:paraId="13990E8C" w14:textId="77777777" w:rsidR="003418CE" w:rsidRDefault="003418CE" w:rsidP="003418CE">
      <w:pPr>
        <w:pStyle w:val="ListParagraph"/>
        <w:numPr>
          <w:ilvl w:val="0"/>
          <w:numId w:val="11"/>
        </w:numPr>
      </w:pPr>
      <w:r>
        <w:t>ディアソリン(イタリア)</w:t>
      </w:r>
    </w:p>
    <w:p w14:paraId="71CFDC76" w14:textId="77777777" w:rsidR="003418CE" w:rsidRDefault="003418CE" w:rsidP="003418CE">
      <w:pPr>
        <w:pStyle w:val="ListParagraph"/>
        <w:numPr>
          <w:ilvl w:val="0"/>
          <w:numId w:val="11"/>
        </w:numPr>
      </w:pPr>
      <w:r>
        <w:t>Myriad Genetics(米国)</w:t>
      </w:r>
    </w:p>
    <w:p w14:paraId="4E497F45" w14:textId="77777777" w:rsidR="003418CE" w:rsidRDefault="003418CE" w:rsidP="003418CE">
      <w:pPr>
        <w:pStyle w:val="ListParagraph"/>
        <w:numPr>
          <w:ilvl w:val="0"/>
          <w:numId w:val="11"/>
        </w:numPr>
      </w:pPr>
      <w:proofErr w:type="spellStart"/>
      <w:r>
        <w:t>Revvity</w:t>
      </w:r>
      <w:proofErr w:type="spellEnd"/>
      <w:r>
        <w:t xml:space="preserve"> (</w:t>
      </w:r>
      <w:proofErr w:type="spellStart"/>
      <w:r>
        <w:t>米国</w:t>
      </w:r>
      <w:proofErr w:type="spellEnd"/>
      <w:r>
        <w:t>)</w:t>
      </w:r>
    </w:p>
    <w:p w14:paraId="74A46330" w14:textId="77777777" w:rsidR="003418CE" w:rsidRDefault="003418CE" w:rsidP="003418CE">
      <w:pPr>
        <w:pStyle w:val="ListParagraph"/>
        <w:numPr>
          <w:ilvl w:val="0"/>
          <w:numId w:val="11"/>
        </w:numPr>
      </w:pPr>
      <w:proofErr w:type="spellStart"/>
      <w:r>
        <w:t>MDxHealth</w:t>
      </w:r>
      <w:proofErr w:type="spellEnd"/>
      <w:r>
        <w:t xml:space="preserve"> (</w:t>
      </w:r>
      <w:proofErr w:type="spellStart"/>
      <w:r>
        <w:t>ベルギ</w:t>
      </w:r>
      <w:proofErr w:type="spellEnd"/>
      <w:r>
        <w:t>ー)</w:t>
      </w:r>
    </w:p>
    <w:p w14:paraId="235A2C50" w14:textId="617E2292" w:rsidR="003418CE" w:rsidRDefault="003418CE" w:rsidP="003418CE">
      <w:pPr>
        <w:pStyle w:val="ListParagraph"/>
        <w:numPr>
          <w:ilvl w:val="0"/>
          <w:numId w:val="11"/>
        </w:numPr>
      </w:pPr>
      <w:proofErr w:type="spellStart"/>
      <w:r>
        <w:t>OncoCyte</w:t>
      </w:r>
      <w:proofErr w:type="spellEnd"/>
      <w:r>
        <w:t xml:space="preserve"> Corporation (</w:t>
      </w:r>
      <w:proofErr w:type="spellStart"/>
      <w:r>
        <w:t>米国</w:t>
      </w:r>
      <w:proofErr w:type="spellEnd"/>
      <w:r>
        <w:t>)</w:t>
      </w:r>
    </w:p>
    <w:p w14:paraId="6B381ABF" w14:textId="532090A7" w:rsidR="003418CE" w:rsidRPr="00FF4655" w:rsidRDefault="003418CE" w:rsidP="003418CE">
      <w:r w:rsidRPr="00FF4655">
        <w:lastRenderedPageBreak/>
        <w:t>これらの企業は、分子診断ソリューションに対する需要の高まりに応えるために、戦略的提携、製品革新、世界的なプレゼンスの拡大に注力しています。</w:t>
      </w:r>
    </w:p>
    <w:p w14:paraId="62670573" w14:textId="77777777" w:rsidR="003418CE" w:rsidRPr="00FF4655" w:rsidRDefault="003418CE" w:rsidP="003418CE">
      <w:pPr>
        <w:rPr>
          <w:b/>
          <w:bCs/>
        </w:rPr>
      </w:pPr>
      <w:r w:rsidRPr="00FF4655">
        <w:rPr>
          <w:b/>
          <w:bCs/>
        </w:rPr>
        <w:t>今後の展望</w:t>
      </w:r>
    </w:p>
    <w:p w14:paraId="2548F48E" w14:textId="77777777" w:rsidR="003418CE" w:rsidRPr="00FF4655" w:rsidRDefault="003418CE" w:rsidP="003418CE">
      <w:r w:rsidRPr="00FF4655">
        <w:t>分子診断市場は、技術の進歩、個別化医療の需要の増加、迅速かつ正確な診断ツールの必要性により、大幅な成長が見込まれています。世界中の医療システムが病気の早期発見とカスタマイズされた治療アプローチを優先し続ける中、分子診断は医療診断の未来を形作る上で極めて重要な役割を果たすことになります。</w:t>
      </w:r>
    </w:p>
    <w:p w14:paraId="7ADAB503" w14:textId="77777777" w:rsidR="003418CE" w:rsidRDefault="003418CE" w:rsidP="003418CE">
      <w:r w:rsidRPr="00FF4655">
        <w:t xml:space="preserve">包括的な分析については、レポート全文を参照してください。 </w:t>
      </w:r>
      <w:hyperlink r:id="rId7" w:history="1">
        <w:r w:rsidRPr="00704D10">
          <w:rPr>
            <w:rStyle w:val="Hyperlink"/>
          </w:rPr>
          <w:t>https://www.skyquestt.com/report/molecular-diagnostics-market</w:t>
        </w:r>
      </w:hyperlink>
      <w:r>
        <w:t xml:space="preserve"> </w:t>
      </w:r>
    </w:p>
    <w:p w14:paraId="1E79735C" w14:textId="7E86D811"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C07F2"/>
    <w:multiLevelType w:val="hybridMultilevel"/>
    <w:tmpl w:val="DF62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33552"/>
    <w:multiLevelType w:val="multilevel"/>
    <w:tmpl w:val="A86E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97F17"/>
    <w:multiLevelType w:val="hybridMultilevel"/>
    <w:tmpl w:val="ADD0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37A69"/>
    <w:multiLevelType w:val="multilevel"/>
    <w:tmpl w:val="AD4A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65320"/>
    <w:multiLevelType w:val="multilevel"/>
    <w:tmpl w:val="857A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8821A1"/>
    <w:multiLevelType w:val="multilevel"/>
    <w:tmpl w:val="8C7A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B533B"/>
    <w:multiLevelType w:val="multilevel"/>
    <w:tmpl w:val="742C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AD4E0B"/>
    <w:multiLevelType w:val="multilevel"/>
    <w:tmpl w:val="A3B6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C0357E"/>
    <w:multiLevelType w:val="multilevel"/>
    <w:tmpl w:val="B06A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4203E0"/>
    <w:multiLevelType w:val="multilevel"/>
    <w:tmpl w:val="BA7A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B0B24"/>
    <w:multiLevelType w:val="multilevel"/>
    <w:tmpl w:val="0FF6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26002">
    <w:abstractNumId w:val="4"/>
  </w:num>
  <w:num w:numId="2" w16cid:durableId="161043472">
    <w:abstractNumId w:val="8"/>
  </w:num>
  <w:num w:numId="3" w16cid:durableId="255211579">
    <w:abstractNumId w:val="3"/>
  </w:num>
  <w:num w:numId="4" w16cid:durableId="1963801908">
    <w:abstractNumId w:val="9"/>
  </w:num>
  <w:num w:numId="5" w16cid:durableId="1752434659">
    <w:abstractNumId w:val="5"/>
  </w:num>
  <w:num w:numId="6" w16cid:durableId="1527214808">
    <w:abstractNumId w:val="7"/>
  </w:num>
  <w:num w:numId="7" w16cid:durableId="684284054">
    <w:abstractNumId w:val="1"/>
  </w:num>
  <w:num w:numId="8" w16cid:durableId="1595165062">
    <w:abstractNumId w:val="6"/>
  </w:num>
  <w:num w:numId="9" w16cid:durableId="237444932">
    <w:abstractNumId w:val="10"/>
  </w:num>
  <w:num w:numId="10" w16cid:durableId="303854263">
    <w:abstractNumId w:val="2"/>
  </w:num>
  <w:num w:numId="11" w16cid:durableId="133086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CE"/>
    <w:rsid w:val="001D01DB"/>
    <w:rsid w:val="00274CDA"/>
    <w:rsid w:val="003418CE"/>
    <w:rsid w:val="00404148"/>
    <w:rsid w:val="004C78BE"/>
    <w:rsid w:val="004D40C5"/>
    <w:rsid w:val="00816132"/>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E2D1"/>
  <w15:chartTrackingRefBased/>
  <w15:docId w15:val="{4B64D3F7-2350-4665-BC02-630F3B54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8CE"/>
  </w:style>
  <w:style w:type="paragraph" w:styleId="Heading1">
    <w:name w:val="heading 1"/>
    <w:basedOn w:val="Normal"/>
    <w:next w:val="Normal"/>
    <w:link w:val="Heading1Char"/>
    <w:uiPriority w:val="9"/>
    <w:qFormat/>
    <w:rsid w:val="003418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18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18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18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18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1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8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18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18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18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18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1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8CE"/>
    <w:rPr>
      <w:rFonts w:eastAsiaTheme="majorEastAsia" w:cstheme="majorBidi"/>
      <w:color w:val="272727" w:themeColor="text1" w:themeTint="D8"/>
    </w:rPr>
  </w:style>
  <w:style w:type="paragraph" w:styleId="Title">
    <w:name w:val="Title"/>
    <w:basedOn w:val="Normal"/>
    <w:next w:val="Normal"/>
    <w:link w:val="TitleChar"/>
    <w:uiPriority w:val="10"/>
    <w:qFormat/>
    <w:rsid w:val="00341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8CE"/>
    <w:pPr>
      <w:spacing w:before="160"/>
      <w:jc w:val="center"/>
    </w:pPr>
    <w:rPr>
      <w:i/>
      <w:iCs/>
      <w:color w:val="404040" w:themeColor="text1" w:themeTint="BF"/>
    </w:rPr>
  </w:style>
  <w:style w:type="character" w:customStyle="1" w:styleId="QuoteChar">
    <w:name w:val="Quote Char"/>
    <w:basedOn w:val="DefaultParagraphFont"/>
    <w:link w:val="Quote"/>
    <w:uiPriority w:val="29"/>
    <w:rsid w:val="003418CE"/>
    <w:rPr>
      <w:i/>
      <w:iCs/>
      <w:color w:val="404040" w:themeColor="text1" w:themeTint="BF"/>
    </w:rPr>
  </w:style>
  <w:style w:type="paragraph" w:styleId="ListParagraph">
    <w:name w:val="List Paragraph"/>
    <w:basedOn w:val="Normal"/>
    <w:uiPriority w:val="34"/>
    <w:qFormat/>
    <w:rsid w:val="003418CE"/>
    <w:pPr>
      <w:ind w:left="720"/>
      <w:contextualSpacing/>
    </w:pPr>
  </w:style>
  <w:style w:type="character" w:styleId="IntenseEmphasis">
    <w:name w:val="Intense Emphasis"/>
    <w:basedOn w:val="DefaultParagraphFont"/>
    <w:uiPriority w:val="21"/>
    <w:qFormat/>
    <w:rsid w:val="003418CE"/>
    <w:rPr>
      <w:i/>
      <w:iCs/>
      <w:color w:val="2F5496" w:themeColor="accent1" w:themeShade="BF"/>
    </w:rPr>
  </w:style>
  <w:style w:type="paragraph" w:styleId="IntenseQuote">
    <w:name w:val="Intense Quote"/>
    <w:basedOn w:val="Normal"/>
    <w:next w:val="Normal"/>
    <w:link w:val="IntenseQuoteChar"/>
    <w:uiPriority w:val="30"/>
    <w:qFormat/>
    <w:rsid w:val="00341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18CE"/>
    <w:rPr>
      <w:i/>
      <w:iCs/>
      <w:color w:val="2F5496" w:themeColor="accent1" w:themeShade="BF"/>
    </w:rPr>
  </w:style>
  <w:style w:type="character" w:styleId="IntenseReference">
    <w:name w:val="Intense Reference"/>
    <w:basedOn w:val="DefaultParagraphFont"/>
    <w:uiPriority w:val="32"/>
    <w:qFormat/>
    <w:rsid w:val="003418CE"/>
    <w:rPr>
      <w:b/>
      <w:bCs/>
      <w:smallCaps/>
      <w:color w:val="2F5496" w:themeColor="accent1" w:themeShade="BF"/>
      <w:spacing w:val="5"/>
    </w:rPr>
  </w:style>
  <w:style w:type="character" w:styleId="Hyperlink">
    <w:name w:val="Hyperlink"/>
    <w:basedOn w:val="DefaultParagraphFont"/>
    <w:uiPriority w:val="99"/>
    <w:unhideWhenUsed/>
    <w:rsid w:val="003418CE"/>
    <w:rPr>
      <w:color w:val="0563C1" w:themeColor="hyperlink"/>
      <w:u w:val="single"/>
    </w:rPr>
  </w:style>
  <w:style w:type="character" w:styleId="UnresolvedMention">
    <w:name w:val="Unresolved Mention"/>
    <w:basedOn w:val="DefaultParagraphFont"/>
    <w:uiPriority w:val="99"/>
    <w:semiHidden/>
    <w:unhideWhenUsed/>
    <w:rsid w:val="003418CE"/>
    <w:rPr>
      <w:color w:val="605E5C"/>
      <w:shd w:val="clear" w:color="auto" w:fill="E1DFDD"/>
    </w:rPr>
  </w:style>
  <w:style w:type="character" w:styleId="PlaceholderText">
    <w:name w:val="Placeholder Text"/>
    <w:basedOn w:val="DefaultParagraphFont"/>
    <w:uiPriority w:val="99"/>
    <w:semiHidden/>
    <w:rsid w:val="0081613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molecular-diagnost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molecular-diagnostics-market" TargetMode="External"/><Relationship Id="rId5" Type="http://schemas.openxmlformats.org/officeDocument/2006/relationships/hyperlink" Target="https://www.skyquestt.com/sample-request/molecular-diagnostic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2025-08-05T11:35:00Z</dcterms:created>
  <dcterms:modified xsi:type="dcterms:W3CDTF">2025-08-05T11:37:00Z</dcterms:modified>
</cp:coreProperties>
</file>