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AB310" w14:textId="221FB984" w:rsidR="00482515" w:rsidRPr="00482515" w:rsidRDefault="00482515" w:rsidP="00482515">
      <w:pPr>
        <w:rPr>
          <w:b/>
          <w:bCs/>
        </w:rPr>
      </w:pPr>
      <w:r w:rsidRPr="00482515">
        <w:rPr>
          <w:b/>
          <w:bCs/>
        </w:rPr>
        <w:t>遺伝毒性検査市場は2032年までに28億2,000万米ドルに達し、年平均成長率7.3%で成長</w:t>
      </w:r>
    </w:p>
    <w:p w14:paraId="2A6FA9E4" w14:textId="064386E6" w:rsidR="00482515" w:rsidRDefault="00482515" w:rsidP="00482515">
      <w:r w:rsidRPr="00482515">
        <w:t>遺伝毒性検査は、より広範な製薬、バイオテクノロジー、化学産業の重要な要素です。遺伝毒物学検査は、新薬、化学物質、消費者製品の安全性評価において重要な段階であり、人間の健康と環境に対する潜在的なリスクを徹底的に評価します。この市場の概要は、規制当局の監視の強化、検査方法の進歩、公衆衛生と安全への重視の高まりにより、その重要性が高まっていることを反映しています。</w:t>
      </w:r>
    </w:p>
    <w:p w14:paraId="73196DD4" w14:textId="77777777" w:rsidR="00482515" w:rsidRPr="00482515" w:rsidRDefault="00482515" w:rsidP="00482515">
      <w:pPr>
        <w:rPr>
          <w:b/>
          <w:bCs/>
        </w:rPr>
      </w:pPr>
      <w:r w:rsidRPr="00482515">
        <w:rPr>
          <w:b/>
          <w:bCs/>
        </w:rPr>
        <w:t>遺伝毒性検査市場規模は、2023年に15億6,000万米ドルと評価され、2024年の16億米ドルから2032年までに28億2,000万米ドルに成長し、予測期間(2025年から2032年)中に7.3%のCAGRで成長する見込みです。</w:t>
      </w:r>
    </w:p>
    <w:p w14:paraId="38DB6CB8" w14:textId="767745CD" w:rsidR="00482515" w:rsidRPr="00482515" w:rsidRDefault="00482515" w:rsidP="00482515">
      <w:r>
        <w:t xml:space="preserve">無料サンプルレポートを入手してください: </w:t>
      </w:r>
      <w:hyperlink r:id="rId5" w:history="1">
        <w:r w:rsidRPr="0064701D">
          <w:rPr>
            <w:rStyle w:val="Hyperlink"/>
          </w:rPr>
          <w:t>https://www.skyquestt.com/sample-request/genetic-toxicology-testing-market</w:t>
        </w:r>
      </w:hyperlink>
      <w:r>
        <w:t xml:space="preserve"> </w:t>
      </w:r>
    </w:p>
    <w:p w14:paraId="18D550F2" w14:textId="77777777" w:rsidR="00482515" w:rsidRPr="00482515" w:rsidRDefault="00482515" w:rsidP="00482515">
      <w:pPr>
        <w:rPr>
          <w:b/>
          <w:bCs/>
        </w:rPr>
      </w:pPr>
      <w:r w:rsidRPr="00482515">
        <w:rPr>
          <w:b/>
          <w:bCs/>
        </w:rPr>
        <w:t>主な成長ドライバー</w:t>
      </w:r>
    </w:p>
    <w:p w14:paraId="4A8F0178" w14:textId="77777777" w:rsidR="00482515" w:rsidRPr="00482515" w:rsidRDefault="00482515" w:rsidP="00482515">
      <w:pPr>
        <w:numPr>
          <w:ilvl w:val="0"/>
          <w:numId w:val="1"/>
        </w:numPr>
      </w:pPr>
      <w:r w:rsidRPr="00482515">
        <w:rPr>
          <w:b/>
          <w:bCs/>
        </w:rPr>
        <w:t>規制基準と安全要件製品の安全性に関する厳しい世界的な規制により、遺伝毒性試験の導入が加速し、新しい化合物の遺伝毒性リスクの早期発見が保証されています。</w:t>
      </w:r>
    </w:p>
    <w:p w14:paraId="6B384337" w14:textId="77777777" w:rsidR="00482515" w:rsidRPr="00482515" w:rsidRDefault="00482515" w:rsidP="00482515">
      <w:pPr>
        <w:numPr>
          <w:ilvl w:val="0"/>
          <w:numId w:val="1"/>
        </w:numPr>
      </w:pPr>
      <w:r w:rsidRPr="00482515">
        <w:rPr>
          <w:b/>
          <w:bCs/>
        </w:rPr>
        <w:t>高度な試験方法への移行従来の動物実験は、より迅速で費用対効果が高く、倫理的なソリューションを提供する in vitro アッセイ、ハイスループット スクリーニング、計算毒物学手法にますます取って代わられています。</w:t>
      </w:r>
    </w:p>
    <w:p w14:paraId="68778106" w14:textId="77777777" w:rsidR="00482515" w:rsidRPr="00482515" w:rsidRDefault="00482515" w:rsidP="00482515">
      <w:pPr>
        <w:numPr>
          <w:ilvl w:val="0"/>
          <w:numId w:val="1"/>
        </w:numPr>
      </w:pPr>
      <w:r w:rsidRPr="00482515">
        <w:rPr>
          <w:b/>
          <w:bCs/>
        </w:rPr>
        <w:t>アウトソーシングの増加製薬会社や化学会社は、試験プロセスを専門の受託研究機関 (CRO) にアウトソーシングし、進化する規制への準拠を維持しながら効率を高めています。</w:t>
      </w:r>
    </w:p>
    <w:p w14:paraId="6139BE1C" w14:textId="77777777" w:rsidR="00482515" w:rsidRPr="00482515" w:rsidRDefault="00482515" w:rsidP="00482515">
      <w:pPr>
        <w:rPr>
          <w:b/>
          <w:bCs/>
        </w:rPr>
      </w:pPr>
      <w:r w:rsidRPr="00482515">
        <w:rPr>
          <w:b/>
          <w:bCs/>
        </w:rPr>
        <w:t>遺伝毒性検査市場セグメント分析</w:t>
      </w:r>
    </w:p>
    <w:p w14:paraId="2DE02CE5" w14:textId="77777777" w:rsidR="00482515" w:rsidRDefault="00482515" w:rsidP="00482515">
      <w:r w:rsidRPr="00482515">
        <w:t xml:space="preserve">世界の遺伝毒性検査市場は、検査方法、製品、アッセイタイプ、エンドユーザー、地域によって区分される。 </w:t>
      </w:r>
    </w:p>
    <w:p w14:paraId="47B6A425" w14:textId="77777777" w:rsidR="00482515" w:rsidRDefault="00482515" w:rsidP="00482515">
      <w:pPr>
        <w:pStyle w:val="ListParagraph"/>
        <w:numPr>
          <w:ilvl w:val="0"/>
          <w:numId w:val="4"/>
        </w:numPr>
      </w:pPr>
      <w:r w:rsidRPr="00482515">
        <w:t xml:space="preserve">試験方法に基づいて、市場は in vitro 試験、in vivo 試験、計算毒物学、ハイスループット スクリーニングに分類されます。 </w:t>
      </w:r>
    </w:p>
    <w:p w14:paraId="2C75D9E2" w14:textId="77777777" w:rsidR="00482515" w:rsidRDefault="00482515" w:rsidP="00482515">
      <w:pPr>
        <w:pStyle w:val="ListParagraph"/>
        <w:numPr>
          <w:ilvl w:val="0"/>
          <w:numId w:val="4"/>
        </w:numPr>
      </w:pPr>
      <w:r w:rsidRPr="00482515">
        <w:t xml:space="preserve">製品別では、市場は試薬・消耗品、アッセイキット、サービスに区分される。 </w:t>
      </w:r>
    </w:p>
    <w:p w14:paraId="383B6BD0" w14:textId="77777777" w:rsidR="00482515" w:rsidRDefault="00482515" w:rsidP="00482515">
      <w:pPr>
        <w:pStyle w:val="ListParagraph"/>
        <w:numPr>
          <w:ilvl w:val="0"/>
          <w:numId w:val="4"/>
        </w:numPr>
      </w:pPr>
      <w:r w:rsidRPr="00482515">
        <w:t xml:space="preserve">アッセイタイプに基づいて、市場はエイムステスト、小核テスト、コメットアッセイ、染色体異常テストに分類されます。 </w:t>
      </w:r>
    </w:p>
    <w:p w14:paraId="5CD45135" w14:textId="77777777" w:rsidR="00482515" w:rsidRDefault="00482515" w:rsidP="00482515">
      <w:pPr>
        <w:pStyle w:val="ListParagraph"/>
        <w:numPr>
          <w:ilvl w:val="0"/>
          <w:numId w:val="4"/>
        </w:numPr>
      </w:pPr>
      <w:r w:rsidRPr="00482515">
        <w:t xml:space="preserve">エンドユーザーに基づいて、市場は製薬会社、研究機関、受託研究機関(CRO)、政府機関に分類されます。 </w:t>
      </w:r>
    </w:p>
    <w:p w14:paraId="5D4F0A54" w14:textId="5AA3E6A6" w:rsidR="00482515" w:rsidRPr="00482515" w:rsidRDefault="00482515" w:rsidP="00482515">
      <w:pPr>
        <w:pStyle w:val="ListParagraph"/>
        <w:numPr>
          <w:ilvl w:val="0"/>
          <w:numId w:val="4"/>
        </w:numPr>
      </w:pPr>
      <w:r w:rsidRPr="00482515">
        <w:lastRenderedPageBreak/>
        <w:t>地域に基づいて、市場は北米、ヨーロッパ、アジア太平洋、ラテンアメリカ、中東とアフリカに分割されます。</w:t>
      </w:r>
    </w:p>
    <w:p w14:paraId="4B9DC0AF" w14:textId="157FA7A4" w:rsidR="00482515" w:rsidRPr="00482515" w:rsidRDefault="00482515" w:rsidP="00482515">
      <w:pPr>
        <w:rPr>
          <w:b/>
          <w:bCs/>
        </w:rPr>
      </w:pPr>
      <w:r w:rsidRPr="00482515">
        <w:rPr>
          <w:b/>
          <w:bCs/>
        </w:rPr>
        <w:t>地域の洞察</w:t>
      </w:r>
    </w:p>
    <w:p w14:paraId="7DF5DCED" w14:textId="77777777" w:rsidR="00482515" w:rsidRPr="00482515" w:rsidRDefault="00482515" w:rsidP="00482515">
      <w:pPr>
        <w:numPr>
          <w:ilvl w:val="0"/>
          <w:numId w:val="2"/>
        </w:numPr>
      </w:pPr>
      <w:r w:rsidRPr="00482515">
        <w:rPr>
          <w:b/>
          <w:bCs/>
        </w:rPr>
        <w:t>北米</w:t>
      </w:r>
      <w:r w:rsidRPr="00482515">
        <w:t xml:space="preserve"> は、強力なバイオテクノロジー基盤、高度な検査インフラ、研究開発への一貫した投資により、市場を支配しています。</w:t>
      </w:r>
    </w:p>
    <w:p w14:paraId="5C296AC1" w14:textId="77777777" w:rsidR="00482515" w:rsidRPr="00482515" w:rsidRDefault="00482515" w:rsidP="00482515">
      <w:pPr>
        <w:numPr>
          <w:ilvl w:val="0"/>
          <w:numId w:val="2"/>
        </w:numPr>
      </w:pPr>
      <w:r w:rsidRPr="00482515">
        <w:rPr>
          <w:b/>
          <w:bCs/>
        </w:rPr>
        <w:t>アジア太平洋地域</w:t>
      </w:r>
      <w:r w:rsidRPr="00482515">
        <w:t xml:space="preserve"> は、医薬品製造の増加、政府の取り組み、規制の枠組みの進化により、高成長地域として台頭しています。</w:t>
      </w:r>
    </w:p>
    <w:p w14:paraId="40210E55" w14:textId="77777777" w:rsidR="005060EE" w:rsidRPr="005060EE" w:rsidRDefault="005060EE" w:rsidP="005060EE">
      <w:pPr>
        <w:rPr>
          <w:b/>
          <w:bCs/>
        </w:rPr>
      </w:pPr>
      <w:r w:rsidRPr="005060EE">
        <w:rPr>
          <w:b/>
          <w:bCs/>
        </w:rPr>
        <w:t>遺伝毒性検査市場のトッププレーヤー</w:t>
      </w:r>
    </w:p>
    <w:p w14:paraId="4F2FA094" w14:textId="77777777" w:rsidR="005060EE" w:rsidRPr="005060EE" w:rsidRDefault="005060EE" w:rsidP="005060EE">
      <w:pPr>
        <w:pStyle w:val="ListParagraph"/>
        <w:numPr>
          <w:ilvl w:val="0"/>
          <w:numId w:val="5"/>
        </w:numPr>
      </w:pPr>
      <w:proofErr w:type="spellStart"/>
      <w:r w:rsidRPr="005060EE">
        <w:t>サーモフィッシャーサイエンティフィック社</w:t>
      </w:r>
      <w:proofErr w:type="spellEnd"/>
      <w:r w:rsidRPr="005060EE">
        <w:t>(</w:t>
      </w:r>
      <w:proofErr w:type="spellStart"/>
      <w:r w:rsidRPr="005060EE">
        <w:t>米国</w:t>
      </w:r>
      <w:proofErr w:type="spellEnd"/>
      <w:r w:rsidRPr="005060EE">
        <w:t>)</w:t>
      </w:r>
    </w:p>
    <w:p w14:paraId="71303577" w14:textId="77777777" w:rsidR="005060EE" w:rsidRPr="005060EE" w:rsidRDefault="005060EE" w:rsidP="005060EE">
      <w:pPr>
        <w:pStyle w:val="ListParagraph"/>
        <w:numPr>
          <w:ilvl w:val="0"/>
          <w:numId w:val="5"/>
        </w:numPr>
      </w:pPr>
      <w:r w:rsidRPr="005060EE">
        <w:t xml:space="preserve">チャールズ・リバー・ラボラトリーズ・インターナショナル社(米国) </w:t>
      </w:r>
    </w:p>
    <w:p w14:paraId="617FFF0E" w14:textId="77777777" w:rsidR="005060EE" w:rsidRPr="005060EE" w:rsidRDefault="005060EE" w:rsidP="005060EE">
      <w:pPr>
        <w:pStyle w:val="ListParagraph"/>
        <w:numPr>
          <w:ilvl w:val="0"/>
          <w:numId w:val="5"/>
        </w:numPr>
      </w:pPr>
      <w:r w:rsidRPr="005060EE">
        <w:t xml:space="preserve">Laboratory Corp of America Holdings (米国) </w:t>
      </w:r>
    </w:p>
    <w:p w14:paraId="06689A6D" w14:textId="77777777" w:rsidR="005060EE" w:rsidRPr="005060EE" w:rsidRDefault="005060EE" w:rsidP="005060EE">
      <w:pPr>
        <w:pStyle w:val="ListParagraph"/>
        <w:numPr>
          <w:ilvl w:val="0"/>
          <w:numId w:val="5"/>
        </w:numPr>
      </w:pPr>
      <w:r w:rsidRPr="005060EE">
        <w:t xml:space="preserve">Eurofins Scientific(ドイツ) </w:t>
      </w:r>
    </w:p>
    <w:p w14:paraId="75F8EF02" w14:textId="77777777" w:rsidR="005060EE" w:rsidRPr="005060EE" w:rsidRDefault="005060EE" w:rsidP="005060EE">
      <w:pPr>
        <w:pStyle w:val="ListParagraph"/>
        <w:numPr>
          <w:ilvl w:val="0"/>
          <w:numId w:val="5"/>
        </w:numPr>
      </w:pPr>
      <w:r w:rsidRPr="005060EE">
        <w:t xml:space="preserve">Jubilant Life Sciences Limited(インド) </w:t>
      </w:r>
    </w:p>
    <w:p w14:paraId="69F60E65" w14:textId="77777777" w:rsidR="005060EE" w:rsidRPr="005060EE" w:rsidRDefault="005060EE" w:rsidP="005060EE">
      <w:pPr>
        <w:pStyle w:val="ListParagraph"/>
        <w:numPr>
          <w:ilvl w:val="0"/>
          <w:numId w:val="5"/>
        </w:numPr>
      </w:pPr>
      <w:r w:rsidRPr="005060EE">
        <w:t xml:space="preserve">Merck KGaA(ドイツ) </w:t>
      </w:r>
    </w:p>
    <w:p w14:paraId="1F931D79" w14:textId="77777777" w:rsidR="005060EE" w:rsidRPr="005060EE" w:rsidRDefault="005060EE" w:rsidP="005060EE">
      <w:pPr>
        <w:pStyle w:val="ListParagraph"/>
        <w:numPr>
          <w:ilvl w:val="0"/>
          <w:numId w:val="5"/>
        </w:numPr>
      </w:pPr>
      <w:proofErr w:type="spellStart"/>
      <w:r w:rsidRPr="005060EE">
        <w:t>トキシコンコーポレーション</w:t>
      </w:r>
      <w:proofErr w:type="spellEnd"/>
      <w:r w:rsidRPr="005060EE">
        <w:t>(</w:t>
      </w:r>
      <w:proofErr w:type="spellStart"/>
      <w:r w:rsidRPr="005060EE">
        <w:t>米国</w:t>
      </w:r>
      <w:proofErr w:type="spellEnd"/>
      <w:r w:rsidRPr="005060EE">
        <w:t xml:space="preserve">) </w:t>
      </w:r>
    </w:p>
    <w:p w14:paraId="69DE6A32" w14:textId="77777777" w:rsidR="005060EE" w:rsidRPr="005060EE" w:rsidRDefault="005060EE" w:rsidP="005060EE">
      <w:pPr>
        <w:pStyle w:val="ListParagraph"/>
        <w:numPr>
          <w:ilvl w:val="0"/>
          <w:numId w:val="5"/>
        </w:numPr>
      </w:pPr>
      <w:proofErr w:type="spellStart"/>
      <w:r w:rsidRPr="005060EE">
        <w:t>ジェントロニクス・リミテッド</w:t>
      </w:r>
      <w:proofErr w:type="spellEnd"/>
      <w:r w:rsidRPr="005060EE">
        <w:t>(</w:t>
      </w:r>
      <w:proofErr w:type="spellStart"/>
      <w:r w:rsidRPr="005060EE">
        <w:t>英国</w:t>
      </w:r>
      <w:proofErr w:type="spellEnd"/>
      <w:r w:rsidRPr="005060EE">
        <w:t xml:space="preserve">) </w:t>
      </w:r>
    </w:p>
    <w:p w14:paraId="149CE5B2" w14:textId="77777777" w:rsidR="005060EE" w:rsidRPr="005060EE" w:rsidRDefault="005060EE" w:rsidP="005060EE">
      <w:pPr>
        <w:pStyle w:val="ListParagraph"/>
        <w:numPr>
          <w:ilvl w:val="0"/>
          <w:numId w:val="5"/>
        </w:numPr>
      </w:pPr>
      <w:proofErr w:type="spellStart"/>
      <w:r w:rsidRPr="005060EE">
        <w:t>WuXi</w:t>
      </w:r>
      <w:proofErr w:type="spellEnd"/>
      <w:r w:rsidRPr="005060EE">
        <w:t xml:space="preserve"> AppTec (</w:t>
      </w:r>
      <w:proofErr w:type="spellStart"/>
      <w:r w:rsidRPr="005060EE">
        <w:t>中国</w:t>
      </w:r>
      <w:proofErr w:type="spellEnd"/>
      <w:r w:rsidRPr="005060EE">
        <w:t xml:space="preserve">) </w:t>
      </w:r>
    </w:p>
    <w:p w14:paraId="622495DC" w14:textId="77777777" w:rsidR="005060EE" w:rsidRPr="005060EE" w:rsidRDefault="005060EE" w:rsidP="005060EE">
      <w:pPr>
        <w:pStyle w:val="ListParagraph"/>
        <w:numPr>
          <w:ilvl w:val="0"/>
          <w:numId w:val="5"/>
        </w:numPr>
      </w:pPr>
      <w:proofErr w:type="spellStart"/>
      <w:r w:rsidRPr="005060EE">
        <w:t>Inotiv</w:t>
      </w:r>
      <w:proofErr w:type="spellEnd"/>
      <w:r w:rsidRPr="005060EE">
        <w:t xml:space="preserve"> Inc.(</w:t>
      </w:r>
      <w:proofErr w:type="spellStart"/>
      <w:r w:rsidRPr="005060EE">
        <w:t>米国</w:t>
      </w:r>
      <w:proofErr w:type="spellEnd"/>
      <w:r w:rsidRPr="005060EE">
        <w:t xml:space="preserve">) </w:t>
      </w:r>
    </w:p>
    <w:p w14:paraId="3095FB9B" w14:textId="77777777" w:rsidR="005060EE" w:rsidRPr="005060EE" w:rsidRDefault="005060EE" w:rsidP="005060EE">
      <w:pPr>
        <w:pStyle w:val="ListParagraph"/>
        <w:numPr>
          <w:ilvl w:val="0"/>
          <w:numId w:val="5"/>
        </w:numPr>
      </w:pPr>
      <w:r w:rsidRPr="005060EE">
        <w:t xml:space="preserve">クリエイティブバイオアレイ(米国) </w:t>
      </w:r>
    </w:p>
    <w:p w14:paraId="04E22541" w14:textId="77777777" w:rsidR="005060EE" w:rsidRPr="005060EE" w:rsidRDefault="005060EE" w:rsidP="005060EE">
      <w:pPr>
        <w:pStyle w:val="ListParagraph"/>
        <w:numPr>
          <w:ilvl w:val="0"/>
          <w:numId w:val="5"/>
        </w:numPr>
      </w:pPr>
      <w:r w:rsidRPr="005060EE">
        <w:t xml:space="preserve">MB研究所(米国) </w:t>
      </w:r>
    </w:p>
    <w:p w14:paraId="72BBEE13" w14:textId="77777777" w:rsidR="005060EE" w:rsidRPr="005060EE" w:rsidRDefault="005060EE" w:rsidP="005060EE">
      <w:pPr>
        <w:pStyle w:val="ListParagraph"/>
        <w:numPr>
          <w:ilvl w:val="0"/>
          <w:numId w:val="5"/>
        </w:numPr>
      </w:pPr>
      <w:r w:rsidRPr="005060EE">
        <w:t xml:space="preserve">Molecular Toxicology Inc.(米国) </w:t>
      </w:r>
    </w:p>
    <w:p w14:paraId="2EA94956" w14:textId="77777777" w:rsidR="005060EE" w:rsidRPr="005060EE" w:rsidRDefault="005060EE" w:rsidP="005060EE">
      <w:pPr>
        <w:pStyle w:val="ListParagraph"/>
        <w:numPr>
          <w:ilvl w:val="0"/>
          <w:numId w:val="5"/>
        </w:numPr>
      </w:pPr>
      <w:proofErr w:type="spellStart"/>
      <w:r w:rsidRPr="005060EE">
        <w:t>Toxys</w:t>
      </w:r>
      <w:proofErr w:type="spellEnd"/>
      <w:r w:rsidRPr="005060EE">
        <w:t>(</w:t>
      </w:r>
      <w:proofErr w:type="spellStart"/>
      <w:r w:rsidRPr="005060EE">
        <w:t>オランダ</w:t>
      </w:r>
      <w:proofErr w:type="spellEnd"/>
      <w:r w:rsidRPr="005060EE">
        <w:t xml:space="preserve">) </w:t>
      </w:r>
    </w:p>
    <w:p w14:paraId="2F6F3A97" w14:textId="77777777" w:rsidR="005060EE" w:rsidRPr="005060EE" w:rsidRDefault="005060EE" w:rsidP="005060EE">
      <w:pPr>
        <w:pStyle w:val="ListParagraph"/>
        <w:numPr>
          <w:ilvl w:val="0"/>
          <w:numId w:val="5"/>
        </w:numPr>
      </w:pPr>
      <w:proofErr w:type="spellStart"/>
      <w:r w:rsidRPr="005060EE">
        <w:t>Syngene</w:t>
      </w:r>
      <w:proofErr w:type="spellEnd"/>
      <w:r w:rsidRPr="005060EE">
        <w:t xml:space="preserve"> International Limited (</w:t>
      </w:r>
      <w:proofErr w:type="spellStart"/>
      <w:r w:rsidRPr="005060EE">
        <w:t>インド</w:t>
      </w:r>
      <w:proofErr w:type="spellEnd"/>
      <w:r w:rsidRPr="005060EE">
        <w:t xml:space="preserve">) </w:t>
      </w:r>
    </w:p>
    <w:p w14:paraId="59277E3B" w14:textId="77777777" w:rsidR="005060EE" w:rsidRPr="005060EE" w:rsidRDefault="005060EE" w:rsidP="005060EE">
      <w:pPr>
        <w:pStyle w:val="ListParagraph"/>
        <w:numPr>
          <w:ilvl w:val="0"/>
          <w:numId w:val="5"/>
        </w:numPr>
      </w:pPr>
      <w:proofErr w:type="spellStart"/>
      <w:r w:rsidRPr="005060EE">
        <w:t>GeneTox</w:t>
      </w:r>
      <w:proofErr w:type="spellEnd"/>
      <w:r w:rsidRPr="005060EE">
        <w:t xml:space="preserve"> Worldwide Inc.(</w:t>
      </w:r>
      <w:proofErr w:type="spellStart"/>
      <w:r w:rsidRPr="005060EE">
        <w:t>米国</w:t>
      </w:r>
      <w:proofErr w:type="spellEnd"/>
      <w:r w:rsidRPr="005060EE">
        <w:t xml:space="preserve">) </w:t>
      </w:r>
    </w:p>
    <w:p w14:paraId="5B22934B" w14:textId="77777777" w:rsidR="005060EE" w:rsidRPr="005060EE" w:rsidRDefault="005060EE" w:rsidP="005060EE">
      <w:pPr>
        <w:pStyle w:val="ListParagraph"/>
        <w:numPr>
          <w:ilvl w:val="0"/>
          <w:numId w:val="5"/>
        </w:numPr>
      </w:pPr>
      <w:proofErr w:type="spellStart"/>
      <w:r w:rsidRPr="005060EE">
        <w:t>Scantox</w:t>
      </w:r>
      <w:proofErr w:type="spellEnd"/>
      <w:r w:rsidRPr="005060EE">
        <w:t xml:space="preserve"> Group (</w:t>
      </w:r>
      <w:proofErr w:type="spellStart"/>
      <w:r w:rsidRPr="005060EE">
        <w:t>デンマーク</w:t>
      </w:r>
      <w:proofErr w:type="spellEnd"/>
      <w:r w:rsidRPr="005060EE">
        <w:t xml:space="preserve">) </w:t>
      </w:r>
    </w:p>
    <w:p w14:paraId="587999BC" w14:textId="77777777" w:rsidR="005060EE" w:rsidRPr="005060EE" w:rsidRDefault="005060EE" w:rsidP="005060EE">
      <w:pPr>
        <w:pStyle w:val="ListParagraph"/>
        <w:numPr>
          <w:ilvl w:val="0"/>
          <w:numId w:val="5"/>
        </w:numPr>
      </w:pPr>
      <w:r w:rsidRPr="005060EE">
        <w:t xml:space="preserve">Covance Inc. (米国) </w:t>
      </w:r>
    </w:p>
    <w:p w14:paraId="4C0B93F1" w14:textId="77777777" w:rsidR="005060EE" w:rsidRPr="005060EE" w:rsidRDefault="005060EE" w:rsidP="005060EE">
      <w:pPr>
        <w:pStyle w:val="ListParagraph"/>
        <w:numPr>
          <w:ilvl w:val="0"/>
          <w:numId w:val="5"/>
        </w:numPr>
      </w:pPr>
      <w:proofErr w:type="spellStart"/>
      <w:r w:rsidRPr="005060EE">
        <w:t>BioReliance</w:t>
      </w:r>
      <w:proofErr w:type="spellEnd"/>
      <w:r w:rsidRPr="005060EE">
        <w:t xml:space="preserve"> Corporation(</w:t>
      </w:r>
      <w:proofErr w:type="spellStart"/>
      <w:r w:rsidRPr="005060EE">
        <w:t>米国</w:t>
      </w:r>
      <w:proofErr w:type="spellEnd"/>
      <w:r w:rsidRPr="005060EE">
        <w:t xml:space="preserve">) </w:t>
      </w:r>
    </w:p>
    <w:p w14:paraId="60F4CC87" w14:textId="73376BCD" w:rsidR="005060EE" w:rsidRPr="005060EE" w:rsidRDefault="005060EE" w:rsidP="005060EE">
      <w:pPr>
        <w:pStyle w:val="ListParagraph"/>
        <w:numPr>
          <w:ilvl w:val="0"/>
          <w:numId w:val="5"/>
        </w:numPr>
      </w:pPr>
      <w:proofErr w:type="spellStart"/>
      <w:r w:rsidRPr="005060EE">
        <w:t>Envigo</w:t>
      </w:r>
      <w:proofErr w:type="spellEnd"/>
      <w:r w:rsidRPr="005060EE">
        <w:t>(</w:t>
      </w:r>
      <w:proofErr w:type="spellStart"/>
      <w:r w:rsidRPr="005060EE">
        <w:t>米国</w:t>
      </w:r>
      <w:proofErr w:type="spellEnd"/>
      <w:r w:rsidRPr="005060EE">
        <w:t>)</w:t>
      </w:r>
    </w:p>
    <w:p w14:paraId="3BF1554A" w14:textId="477EA7B6" w:rsidR="00482515" w:rsidRPr="00482515" w:rsidRDefault="00482515" w:rsidP="00482515">
      <w:pPr>
        <w:rPr>
          <w:b/>
          <w:bCs/>
        </w:rPr>
      </w:pPr>
      <w:r w:rsidRPr="00482515">
        <w:rPr>
          <w:b/>
          <w:bCs/>
        </w:rPr>
        <w:t>市場動向</w:t>
      </w:r>
    </w:p>
    <w:p w14:paraId="3461D64B" w14:textId="77777777" w:rsidR="00482515" w:rsidRPr="00482515" w:rsidRDefault="00482515" w:rsidP="00482515">
      <w:pPr>
        <w:numPr>
          <w:ilvl w:val="0"/>
          <w:numId w:val="3"/>
        </w:numPr>
      </w:pPr>
      <w:r w:rsidRPr="00482515">
        <w:rPr>
          <w:b/>
          <w:bCs/>
        </w:rPr>
        <w:t>体外試験が市場をリード体外検査は、その精度、コスト効率、倫理基準への適合性に支えられ、最大のシェアを占めています。</w:t>
      </w:r>
    </w:p>
    <w:p w14:paraId="2866CFFE" w14:textId="77777777" w:rsidR="00482515" w:rsidRPr="00482515" w:rsidRDefault="00482515" w:rsidP="00482515">
      <w:pPr>
        <w:numPr>
          <w:ilvl w:val="0"/>
          <w:numId w:val="3"/>
        </w:numPr>
      </w:pPr>
      <w:r w:rsidRPr="00482515">
        <w:rPr>
          <w:b/>
          <w:bCs/>
        </w:rPr>
        <w:lastRenderedPageBreak/>
        <w:t>サービスセグメントが上昇中テストサービスは、ワークフロー設計、ラボ運営、コンプライアンスレポートをカバーする、依然として最も顕著なカテゴリです。</w:t>
      </w:r>
    </w:p>
    <w:p w14:paraId="0B460776" w14:textId="77777777" w:rsidR="00482515" w:rsidRPr="00482515" w:rsidRDefault="00482515" w:rsidP="00482515">
      <w:pPr>
        <w:numPr>
          <w:ilvl w:val="0"/>
          <w:numId w:val="3"/>
        </w:numPr>
      </w:pPr>
      <w:r w:rsidRPr="00482515">
        <w:rPr>
          <w:b/>
          <w:bCs/>
        </w:rPr>
        <w:t>彗星アッセイの採用率が高い彗星アッセイは、細胞レベルでの DNA 損傷の検出感度が高いため、最も広く使用されている検査方法の 1 つであり続けています。</w:t>
      </w:r>
    </w:p>
    <w:p w14:paraId="1898F896" w14:textId="77777777" w:rsidR="00482515" w:rsidRPr="00482515" w:rsidRDefault="00482515" w:rsidP="00482515">
      <w:pPr>
        <w:rPr>
          <w:b/>
          <w:bCs/>
        </w:rPr>
      </w:pPr>
      <w:r w:rsidRPr="00482515">
        <w:rPr>
          <w:b/>
          <w:bCs/>
        </w:rPr>
        <w:t>結論</w:t>
      </w:r>
    </w:p>
    <w:p w14:paraId="0BCD1055" w14:textId="2CF4C5F8" w:rsidR="004D40C5" w:rsidRDefault="00482515">
      <w:r w:rsidRPr="00482515">
        <w:t>遺伝毒性検査市場は、業界がより安全、より迅速、より信頼性の高い毒性評価方法を求めているため、力強い拡大の段階に入っています。バイオテクノロジーの進歩、アウトソーシングトレンドの高まり、世界的な安全基準の向上により、市場は今後数年間で堅調な成長を遂げることになります。</w:t>
      </w:r>
    </w:p>
    <w:p w14:paraId="70BE0039" w14:textId="7AAEE1F7" w:rsidR="005060EE" w:rsidRDefault="005060EE">
      <w:r>
        <w:t xml:space="preserve">レポート全文を見る: </w:t>
      </w:r>
      <w:hyperlink r:id="rId6" w:history="1">
        <w:r w:rsidRPr="0064701D">
          <w:rPr>
            <w:rStyle w:val="Hyperlink"/>
          </w:rPr>
          <w:t>https://www.skyquestt.com/report/genetic-toxicology-testing-market</w:t>
        </w:r>
      </w:hyperlink>
      <w:r>
        <w:t xml:space="preserve"> </w:t>
      </w:r>
    </w:p>
    <w:sectPr w:rsidR="005060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706"/>
    <w:multiLevelType w:val="multilevel"/>
    <w:tmpl w:val="1F48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357FC"/>
    <w:multiLevelType w:val="multilevel"/>
    <w:tmpl w:val="3152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7539B"/>
    <w:multiLevelType w:val="multilevel"/>
    <w:tmpl w:val="304A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A34C9"/>
    <w:multiLevelType w:val="hybridMultilevel"/>
    <w:tmpl w:val="7516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E632C6"/>
    <w:multiLevelType w:val="hybridMultilevel"/>
    <w:tmpl w:val="276C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903721">
    <w:abstractNumId w:val="0"/>
  </w:num>
  <w:num w:numId="2" w16cid:durableId="1136989495">
    <w:abstractNumId w:val="2"/>
  </w:num>
  <w:num w:numId="3" w16cid:durableId="1743330387">
    <w:abstractNumId w:val="1"/>
  </w:num>
  <w:num w:numId="4" w16cid:durableId="789014591">
    <w:abstractNumId w:val="3"/>
  </w:num>
  <w:num w:numId="5" w16cid:durableId="1262302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515"/>
    <w:rsid w:val="000E79DB"/>
    <w:rsid w:val="001D01DB"/>
    <w:rsid w:val="00274CDA"/>
    <w:rsid w:val="00482515"/>
    <w:rsid w:val="004D40C5"/>
    <w:rsid w:val="005060EE"/>
    <w:rsid w:val="00A02A68"/>
    <w:rsid w:val="00B354D8"/>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CE0BF"/>
  <w15:chartTrackingRefBased/>
  <w15:docId w15:val="{E24FFB46-5190-46FE-9451-59CA81D3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5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25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25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25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25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25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5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5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5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5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25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25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25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25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2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515"/>
    <w:rPr>
      <w:rFonts w:eastAsiaTheme="majorEastAsia" w:cstheme="majorBidi"/>
      <w:color w:val="272727" w:themeColor="text1" w:themeTint="D8"/>
    </w:rPr>
  </w:style>
  <w:style w:type="paragraph" w:styleId="Title">
    <w:name w:val="Title"/>
    <w:basedOn w:val="Normal"/>
    <w:next w:val="Normal"/>
    <w:link w:val="TitleChar"/>
    <w:uiPriority w:val="10"/>
    <w:qFormat/>
    <w:rsid w:val="00482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5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515"/>
    <w:pPr>
      <w:spacing w:before="160"/>
      <w:jc w:val="center"/>
    </w:pPr>
    <w:rPr>
      <w:i/>
      <w:iCs/>
      <w:color w:val="404040" w:themeColor="text1" w:themeTint="BF"/>
    </w:rPr>
  </w:style>
  <w:style w:type="character" w:customStyle="1" w:styleId="QuoteChar">
    <w:name w:val="Quote Char"/>
    <w:basedOn w:val="DefaultParagraphFont"/>
    <w:link w:val="Quote"/>
    <w:uiPriority w:val="29"/>
    <w:rsid w:val="00482515"/>
    <w:rPr>
      <w:i/>
      <w:iCs/>
      <w:color w:val="404040" w:themeColor="text1" w:themeTint="BF"/>
    </w:rPr>
  </w:style>
  <w:style w:type="paragraph" w:styleId="ListParagraph">
    <w:name w:val="List Paragraph"/>
    <w:basedOn w:val="Normal"/>
    <w:uiPriority w:val="34"/>
    <w:qFormat/>
    <w:rsid w:val="00482515"/>
    <w:pPr>
      <w:ind w:left="720"/>
      <w:contextualSpacing/>
    </w:pPr>
  </w:style>
  <w:style w:type="character" w:styleId="IntenseEmphasis">
    <w:name w:val="Intense Emphasis"/>
    <w:basedOn w:val="DefaultParagraphFont"/>
    <w:uiPriority w:val="21"/>
    <w:qFormat/>
    <w:rsid w:val="00482515"/>
    <w:rPr>
      <w:i/>
      <w:iCs/>
      <w:color w:val="2F5496" w:themeColor="accent1" w:themeShade="BF"/>
    </w:rPr>
  </w:style>
  <w:style w:type="paragraph" w:styleId="IntenseQuote">
    <w:name w:val="Intense Quote"/>
    <w:basedOn w:val="Normal"/>
    <w:next w:val="Normal"/>
    <w:link w:val="IntenseQuoteChar"/>
    <w:uiPriority w:val="30"/>
    <w:qFormat/>
    <w:rsid w:val="004825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2515"/>
    <w:rPr>
      <w:i/>
      <w:iCs/>
      <w:color w:val="2F5496" w:themeColor="accent1" w:themeShade="BF"/>
    </w:rPr>
  </w:style>
  <w:style w:type="character" w:styleId="IntenseReference">
    <w:name w:val="Intense Reference"/>
    <w:basedOn w:val="DefaultParagraphFont"/>
    <w:uiPriority w:val="32"/>
    <w:qFormat/>
    <w:rsid w:val="00482515"/>
    <w:rPr>
      <w:b/>
      <w:bCs/>
      <w:smallCaps/>
      <w:color w:val="2F5496" w:themeColor="accent1" w:themeShade="BF"/>
      <w:spacing w:val="5"/>
    </w:rPr>
  </w:style>
  <w:style w:type="character" w:styleId="Hyperlink">
    <w:name w:val="Hyperlink"/>
    <w:basedOn w:val="DefaultParagraphFont"/>
    <w:uiPriority w:val="99"/>
    <w:unhideWhenUsed/>
    <w:rsid w:val="00482515"/>
    <w:rPr>
      <w:color w:val="0563C1" w:themeColor="hyperlink"/>
      <w:u w:val="single"/>
    </w:rPr>
  </w:style>
  <w:style w:type="character" w:styleId="UnresolvedMention">
    <w:name w:val="Unresolved Mention"/>
    <w:basedOn w:val="DefaultParagraphFont"/>
    <w:uiPriority w:val="99"/>
    <w:semiHidden/>
    <w:unhideWhenUsed/>
    <w:rsid w:val="00482515"/>
    <w:rPr>
      <w:color w:val="605E5C"/>
      <w:shd w:val="clear" w:color="auto" w:fill="E1DFDD"/>
    </w:rPr>
  </w:style>
  <w:style w:type="character" w:styleId="PlaceholderText">
    <w:name w:val="Placeholder Text"/>
    <w:basedOn w:val="DefaultParagraphFont"/>
    <w:uiPriority w:val="99"/>
    <w:semiHidden/>
    <w:rsid w:val="000E79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genetic-toxicology-testing-market" TargetMode="External"/><Relationship Id="rId5" Type="http://schemas.openxmlformats.org/officeDocument/2006/relationships/hyperlink" Target="https://www.skyquestt.com/sample-request/genetic-toxicology-testing-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2025-08-18T12:39:00Z</dcterms:created>
  <dcterms:modified xsi:type="dcterms:W3CDTF">2025-08-18T12:51:00Z</dcterms:modified>
</cp:coreProperties>
</file>