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F947" w14:textId="50162B0F" w:rsidR="00EC5EF1" w:rsidRPr="00EC5EF1" w:rsidRDefault="00EC5EF1" w:rsidP="00EC5EF1">
      <w:pPr>
        <w:rPr>
          <w:b/>
          <w:bCs/>
        </w:rPr>
      </w:pPr>
      <w:proofErr w:type="spellStart"/>
      <w:r w:rsidRPr="00EC5EF1">
        <w:rPr>
          <w:b/>
          <w:bCs/>
        </w:rPr>
        <w:t>生コンクリート市場</w:t>
      </w:r>
      <w:proofErr w:type="spellEnd"/>
      <w:r w:rsidRPr="00EC5EF1">
        <w:rPr>
          <w:b/>
          <w:bCs/>
        </w:rPr>
        <w:t xml:space="preserve">: </w:t>
      </w:r>
      <w:proofErr w:type="spellStart"/>
      <w:r w:rsidRPr="00EC5EF1">
        <w:rPr>
          <w:b/>
          <w:bCs/>
        </w:rPr>
        <w:t>現代の建設効率を推進</w:t>
      </w:r>
      <w:proofErr w:type="spellEnd"/>
      <w:r w:rsidRPr="00EC5EF1">
        <w:rPr>
          <w:b/>
          <w:bCs/>
        </w:rPr>
        <w:t xml:space="preserve"> - 2025 年</w:t>
      </w:r>
    </w:p>
    <w:p w14:paraId="59974FF4" w14:textId="77777777" w:rsidR="00B171FA" w:rsidRDefault="00B171FA" w:rsidP="00EC5EF1">
      <w:r w:rsidRPr="00B171FA">
        <w:t>生コンクリート (RMC) を作成するには、特定の量の水、添加剤、骨材、セメントを組み合わせる必要があります。望ましい耐久性と強度を実現するために、これらのさまざまな要素は、確立されたルールに沿って適切な比率で組み合わされます。通常のコンクリートと比較すると、生コンクリートはより便利で使いやすく、高品質であるため、より人気があります。</w:t>
      </w:r>
    </w:p>
    <w:p w14:paraId="51B7D4CB" w14:textId="6417B800" w:rsidR="00B171FA" w:rsidRPr="00B171FA" w:rsidRDefault="00B171FA" w:rsidP="00EC5EF1">
      <w:pPr>
        <w:rPr>
          <w:b/>
          <w:bCs/>
        </w:rPr>
      </w:pPr>
      <w:r w:rsidRPr="00B171FA">
        <w:rPr>
          <w:b/>
          <w:bCs/>
        </w:rPr>
        <w:t>生コンクリート市場は、2023年に8,704億5,000万米ドルと評価され、2024年の9,444億4,000万米ドルから2032年までに1,8,138億9,000万米ドルに成長し、予測期間(2025年から2032年)中に8.5%のCAGRで成長する見込みです。</w:t>
      </w:r>
    </w:p>
    <w:p w14:paraId="059AA03C" w14:textId="15B58FB6" w:rsidR="00EC5EF1" w:rsidRPr="00EC5EF1" w:rsidRDefault="00EC5EF1" w:rsidP="00EC5EF1">
      <w:r w:rsidRPr="00EC5EF1">
        <w:rPr>
          <w:b/>
          <w:bCs/>
        </w:rPr>
        <w:t>無料のサンプルレポートはこちらからダウンロードしてください</w:t>
      </w:r>
      <w:r w:rsidRPr="00EC5EF1">
        <w:t xml:space="preserve">: </w:t>
      </w:r>
      <w:hyperlink r:id="rId5" w:history="1">
        <w:r w:rsidR="00B171FA" w:rsidRPr="00382D9E">
          <w:rPr>
            <w:rStyle w:val="Hyperlink"/>
          </w:rPr>
          <w:t>https://www.skyquestt.com/sample-request/ready-mix-concrete-market</w:t>
        </w:r>
      </w:hyperlink>
      <w:r w:rsidR="00B171FA">
        <w:t xml:space="preserve"> </w:t>
      </w:r>
    </w:p>
    <w:p w14:paraId="1801C74F" w14:textId="77777777" w:rsidR="00EC5EF1" w:rsidRPr="00EC5EF1" w:rsidRDefault="00EC5EF1" w:rsidP="00EC5EF1">
      <w:pPr>
        <w:rPr>
          <w:b/>
          <w:bCs/>
        </w:rPr>
      </w:pPr>
      <w:r w:rsidRPr="00EC5EF1">
        <w:rPr>
          <w:b/>
          <w:bCs/>
        </w:rPr>
        <w:t>主な市場推進力</w:t>
      </w:r>
    </w:p>
    <w:p w14:paraId="1747ED4E" w14:textId="77777777" w:rsidR="00EC5EF1" w:rsidRPr="00EC5EF1" w:rsidRDefault="00EC5EF1" w:rsidP="00EC5EF1">
      <w:pPr>
        <w:numPr>
          <w:ilvl w:val="0"/>
          <w:numId w:val="1"/>
        </w:numPr>
      </w:pPr>
      <w:r w:rsidRPr="00EC5EF1">
        <w:rPr>
          <w:b/>
          <w:bCs/>
        </w:rPr>
        <w:t>都市化とインフラの成長住宅、商業、産業プロジェクトの建設の増加</w:t>
      </w:r>
      <w:r w:rsidRPr="00EC5EF1">
        <w:t xml:space="preserve"> が RMC の採用を促進しています。</w:t>
      </w:r>
    </w:p>
    <w:p w14:paraId="3D678761" w14:textId="77777777" w:rsidR="00EC5EF1" w:rsidRPr="00EC5EF1" w:rsidRDefault="00EC5EF1" w:rsidP="00EC5EF1">
      <w:pPr>
        <w:numPr>
          <w:ilvl w:val="0"/>
          <w:numId w:val="1"/>
        </w:numPr>
      </w:pPr>
      <w:r w:rsidRPr="00EC5EF1">
        <w:rPr>
          <w:b/>
          <w:bCs/>
        </w:rPr>
        <w:t>持続可能性とグリーンビルディングのトレンドRMC は、</w:t>
      </w:r>
      <w:r w:rsidRPr="00EC5EF1">
        <w:t>環境に優しい建設基準に沿って、資源の効率的な使用と廃棄物の削減を可能にします。</w:t>
      </w:r>
    </w:p>
    <w:p w14:paraId="47C15700" w14:textId="77777777" w:rsidR="00EC5EF1" w:rsidRPr="00EC5EF1" w:rsidRDefault="00EC5EF1" w:rsidP="00EC5EF1">
      <w:pPr>
        <w:numPr>
          <w:ilvl w:val="0"/>
          <w:numId w:val="1"/>
        </w:numPr>
      </w:pPr>
      <w:r w:rsidRPr="00EC5EF1">
        <w:rPr>
          <w:b/>
          <w:bCs/>
        </w:rPr>
        <w:t>時間とコストの効率バッチングプラントでのプレハブ混合により、労働</w:t>
      </w:r>
      <w:r w:rsidRPr="00EC5EF1">
        <w:t>力と現場リソースを節約しながら、一貫した品質が保証されます。</w:t>
      </w:r>
    </w:p>
    <w:p w14:paraId="532D5840" w14:textId="24A90245" w:rsidR="00EC5EF1" w:rsidRPr="00EC5EF1" w:rsidRDefault="00EC5EF1" w:rsidP="00EC5EF1">
      <w:pPr>
        <w:numPr>
          <w:ilvl w:val="0"/>
          <w:numId w:val="1"/>
        </w:numPr>
      </w:pPr>
      <w:r w:rsidRPr="00EC5EF1">
        <w:rPr>
          <w:b/>
          <w:bCs/>
        </w:rPr>
        <w:t>政府の取り組みスマートシティ、高速道路、地下鉄プロジェクトへの投資</w:t>
      </w:r>
      <w:r w:rsidRPr="00EC5EF1">
        <w:t>により、発展途上国全体の需要が高まっています。</w:t>
      </w:r>
    </w:p>
    <w:p w14:paraId="0D9F838B" w14:textId="77777777" w:rsidR="00EC5EF1" w:rsidRPr="00EC5EF1" w:rsidRDefault="00EC5EF1" w:rsidP="00EC5EF1">
      <w:pPr>
        <w:rPr>
          <w:b/>
          <w:bCs/>
        </w:rPr>
      </w:pPr>
      <w:r w:rsidRPr="00EC5EF1">
        <w:rPr>
          <w:b/>
          <w:bCs/>
        </w:rPr>
        <w:t>市場セグメンテーション</w:t>
      </w:r>
    </w:p>
    <w:p w14:paraId="14215456" w14:textId="77777777" w:rsidR="00EC5EF1" w:rsidRDefault="00EC5EF1" w:rsidP="00EC5EF1">
      <w:r w:rsidRPr="00EC5EF1">
        <w:t xml:space="preserve">世界の生コンクリート市場は、生産別、タイプ別、ミキサー別、用途別、地域別に区分される。 </w:t>
      </w:r>
    </w:p>
    <w:p w14:paraId="4E42D639" w14:textId="77777777" w:rsidR="00EC5EF1" w:rsidRDefault="00EC5EF1" w:rsidP="00EC5EF1">
      <w:pPr>
        <w:pStyle w:val="ListParagraph"/>
        <w:numPr>
          <w:ilvl w:val="0"/>
          <w:numId w:val="9"/>
        </w:numPr>
      </w:pPr>
      <w:r w:rsidRPr="00EC5EF1">
        <w:t xml:space="preserve">生産に基づいて、市場はオンサイト、オフサイトに分類されます。 </w:t>
      </w:r>
    </w:p>
    <w:p w14:paraId="1505F1B6" w14:textId="77777777" w:rsidR="00EC5EF1" w:rsidRDefault="00EC5EF1" w:rsidP="00EC5EF1">
      <w:pPr>
        <w:pStyle w:val="ListParagraph"/>
        <w:numPr>
          <w:ilvl w:val="0"/>
          <w:numId w:val="9"/>
        </w:numPr>
      </w:pPr>
      <w:r w:rsidRPr="00EC5EF1">
        <w:t xml:space="preserve">タイプに基づいて、市場はトランジットミックスコンクリート、セントラルミックスコンクリート、シュリンクミックスコンクリートに分類されます。 </w:t>
      </w:r>
    </w:p>
    <w:p w14:paraId="1F3598DA" w14:textId="77777777" w:rsidR="00EC5EF1" w:rsidRDefault="00EC5EF1" w:rsidP="00EC5EF1">
      <w:pPr>
        <w:pStyle w:val="ListParagraph"/>
        <w:numPr>
          <w:ilvl w:val="0"/>
          <w:numId w:val="9"/>
        </w:numPr>
      </w:pPr>
      <w:r w:rsidRPr="00EC5EF1">
        <w:t xml:space="preserve">ミキサータイプに基づいて、市場は容積式とバレルトラック/輸送中のミキサーに分類されます。 </w:t>
      </w:r>
    </w:p>
    <w:p w14:paraId="352C24C1" w14:textId="77777777" w:rsidR="00EC5EF1" w:rsidRDefault="00EC5EF1" w:rsidP="00EC5EF1">
      <w:pPr>
        <w:pStyle w:val="ListParagraph"/>
        <w:numPr>
          <w:ilvl w:val="0"/>
          <w:numId w:val="9"/>
        </w:numPr>
      </w:pPr>
      <w:r w:rsidRPr="00EC5EF1">
        <w:t xml:space="preserve">アプリケーションに基づいて、市場は商業およびインフラストラクチャ、住宅、産業に分類されます </w:t>
      </w:r>
    </w:p>
    <w:p w14:paraId="102797A4" w14:textId="6635B34B" w:rsidR="00EC5EF1" w:rsidRPr="00EC5EF1" w:rsidRDefault="00EC5EF1" w:rsidP="00EC5EF1">
      <w:pPr>
        <w:pStyle w:val="ListParagraph"/>
        <w:numPr>
          <w:ilvl w:val="0"/>
          <w:numId w:val="9"/>
        </w:numPr>
      </w:pPr>
      <w:r w:rsidRPr="00EC5EF1">
        <w:lastRenderedPageBreak/>
        <w:t xml:space="preserve">地域に基づいて、市場は北米、ヨーロッパ、アジア太平洋、ラテンアメリカ、中東とアフリカに分類されます。  </w:t>
      </w:r>
    </w:p>
    <w:p w14:paraId="38730895" w14:textId="72F3BF5A" w:rsidR="00EC5EF1" w:rsidRPr="00EC5EF1" w:rsidRDefault="00EC5EF1" w:rsidP="00EC5EF1">
      <w:pPr>
        <w:rPr>
          <w:b/>
        </w:rPr>
      </w:pPr>
      <w:r w:rsidRPr="00EC5EF1">
        <w:rPr>
          <w:b/>
        </w:rPr>
        <w:t>生コンクリート市場の地域別洞察</w:t>
      </w:r>
    </w:p>
    <w:p w14:paraId="70A39B0E" w14:textId="7F74A1E0" w:rsidR="00EC5EF1" w:rsidRPr="00EC5EF1" w:rsidRDefault="00EC5EF1" w:rsidP="00EC5EF1">
      <w:pPr>
        <w:pStyle w:val="ListParagraph"/>
        <w:numPr>
          <w:ilvl w:val="0"/>
          <w:numId w:val="10"/>
        </w:numPr>
        <w:rPr>
          <w:bCs/>
        </w:rPr>
      </w:pPr>
      <w:r w:rsidRPr="00EC5EF1">
        <w:rPr>
          <w:bCs/>
        </w:rPr>
        <w:t>収益と生コンクリート市場シェアの点では、北米が 2021 年の市場を支配しています。この地域における新しいインフラプロジェクトの開発が、この地域の市場成長の原因となっています。建設協会の統計によると、米国の建築業は年間約1兆4,000億ドル相当の構造物を生産している。</w:t>
      </w:r>
    </w:p>
    <w:p w14:paraId="14ADB09C" w14:textId="4F267AA1" w:rsidR="00EC5EF1" w:rsidRPr="00EC5EF1" w:rsidRDefault="00EC5EF1" w:rsidP="00EC5EF1">
      <w:pPr>
        <w:pStyle w:val="ListParagraph"/>
        <w:numPr>
          <w:ilvl w:val="0"/>
          <w:numId w:val="10"/>
        </w:numPr>
        <w:rPr>
          <w:bCs/>
        </w:rPr>
      </w:pPr>
      <w:r w:rsidRPr="00EC5EF1">
        <w:rPr>
          <w:bCs/>
        </w:rPr>
        <w:t>一方、アジア太平洋地域は、2022 年から 2028 年にかけて収益性の高い成長が見込まれています。中国とインドの道路インフラを改善するための政府の措置により、この地域の産業発展が開花すると予測されています。この地域の産業と製造業の拡大は、都市化と住宅の成長とともに、生コンクリートの需要を増加させると予想されます。</w:t>
      </w:r>
    </w:p>
    <w:p w14:paraId="02250C96" w14:textId="02C8E91C" w:rsidR="00EC5EF1" w:rsidRPr="00EC5EF1" w:rsidRDefault="00EC5EF1" w:rsidP="00EC5EF1">
      <w:pPr>
        <w:rPr>
          <w:b/>
        </w:rPr>
      </w:pPr>
      <w:r w:rsidRPr="00EC5EF1">
        <w:rPr>
          <w:b/>
        </w:rPr>
        <w:t>生コンクリート市場の最近の動向</w:t>
      </w:r>
    </w:p>
    <w:p w14:paraId="62609A73" w14:textId="77777777" w:rsidR="00EC5EF1" w:rsidRPr="00EC5EF1" w:rsidRDefault="00EC5EF1" w:rsidP="00EC5EF1">
      <w:pPr>
        <w:rPr>
          <w:bCs/>
        </w:rPr>
      </w:pPr>
      <w:r w:rsidRPr="00EC5EF1">
        <w:rPr>
          <w:bCs/>
        </w:rPr>
        <w:t>2022年7月、生コンクリートメーカーであるジェネラル・ベトン・ルーマニアがホルシムに買収された。この買収は、エネルギー効率の高い屋根システムやグリーンECOPactコンクリートなどの革新的な建築ソリューションを通じて収益性の高い成長を促進するというHolcimの目標に沿ったものです。</w:t>
      </w:r>
    </w:p>
    <w:p w14:paraId="01C5B902" w14:textId="2F122451" w:rsidR="00EC5EF1" w:rsidRPr="00EC5EF1" w:rsidRDefault="00EC5EF1" w:rsidP="00EC5EF1">
      <w:pPr>
        <w:rPr>
          <w:bCs/>
        </w:rPr>
      </w:pPr>
      <w:r w:rsidRPr="00EC5EF1">
        <w:rPr>
          <w:bCs/>
        </w:rPr>
        <w:t>2022年6月、ハンソンはバーミンガムに新しい生コンクリート施設を開設し、重要なウェスト・ミッドランズ地域でのプレゼンスと能力を拡大した。大量、特殊ミックス、低炭素コンクリートを含むすべてのコンクリート要件は、ランドール ストリートにある数百万ドル規模の新しいプラントによって満たされる可能性があります。</w:t>
      </w:r>
    </w:p>
    <w:p w14:paraId="3C01413C" w14:textId="01E6793D" w:rsidR="00EC5EF1" w:rsidRPr="00EC5EF1" w:rsidRDefault="00EC5EF1" w:rsidP="00EC5EF1">
      <w:pPr>
        <w:rPr>
          <w:b/>
          <w:bCs/>
        </w:rPr>
      </w:pPr>
      <w:r w:rsidRPr="00EC5EF1">
        <w:rPr>
          <w:b/>
          <w:bCs/>
        </w:rPr>
        <w:t>主要な市場プレーヤー</w:t>
      </w:r>
    </w:p>
    <w:p w14:paraId="17ECA866" w14:textId="77777777" w:rsidR="00EC5EF1" w:rsidRDefault="00EC5EF1" w:rsidP="00EC5EF1">
      <w:r w:rsidRPr="00EC5EF1">
        <w:t>生コンクリート業界の大手企業には次のようなものがあります。</w:t>
      </w:r>
    </w:p>
    <w:p w14:paraId="41A8ACB9" w14:textId="77777777" w:rsidR="00EC5EF1" w:rsidRDefault="00EC5EF1" w:rsidP="00EC5EF1">
      <w:pPr>
        <w:pStyle w:val="ListParagraph"/>
        <w:numPr>
          <w:ilvl w:val="0"/>
          <w:numId w:val="8"/>
        </w:numPr>
      </w:pPr>
      <w:proofErr w:type="spellStart"/>
      <w:r>
        <w:t>エナスポール</w:t>
      </w:r>
      <w:proofErr w:type="spellEnd"/>
      <w:r>
        <w:t xml:space="preserve"> </w:t>
      </w:r>
      <w:proofErr w:type="spellStart"/>
      <w:r>
        <w:t>a.s</w:t>
      </w:r>
      <w:proofErr w:type="spellEnd"/>
      <w:r>
        <w:t xml:space="preserve"> </w:t>
      </w:r>
    </w:p>
    <w:p w14:paraId="7EF71B2E" w14:textId="77777777" w:rsidR="00EC5EF1" w:rsidRDefault="00EC5EF1" w:rsidP="00EC5EF1">
      <w:pPr>
        <w:pStyle w:val="ListParagraph"/>
        <w:numPr>
          <w:ilvl w:val="0"/>
          <w:numId w:val="8"/>
        </w:numPr>
      </w:pPr>
      <w:r>
        <w:t xml:space="preserve">セメックス S.A.B. de C.V. </w:t>
      </w:r>
    </w:p>
    <w:p w14:paraId="68DABC14" w14:textId="77777777" w:rsidR="00EC5EF1" w:rsidRDefault="00EC5EF1" w:rsidP="00EC5EF1">
      <w:pPr>
        <w:pStyle w:val="ListParagraph"/>
        <w:numPr>
          <w:ilvl w:val="0"/>
          <w:numId w:val="8"/>
        </w:numPr>
      </w:pPr>
      <w:r>
        <w:t xml:space="preserve">ハイデルベルクセメントAG </w:t>
      </w:r>
    </w:p>
    <w:p w14:paraId="2A6E3B96" w14:textId="77777777" w:rsidR="00EC5EF1" w:rsidRDefault="00EC5EF1" w:rsidP="00EC5EF1">
      <w:pPr>
        <w:pStyle w:val="ListParagraph"/>
        <w:numPr>
          <w:ilvl w:val="0"/>
          <w:numId w:val="8"/>
        </w:numPr>
      </w:pPr>
      <w:r>
        <w:t xml:space="preserve">Buzzi Unicem SpA </w:t>
      </w:r>
    </w:p>
    <w:p w14:paraId="61F0A7AE" w14:textId="77777777" w:rsidR="00EC5EF1" w:rsidRDefault="00EC5EF1" w:rsidP="00EC5EF1">
      <w:pPr>
        <w:pStyle w:val="ListParagraph"/>
        <w:numPr>
          <w:ilvl w:val="0"/>
          <w:numId w:val="8"/>
        </w:numPr>
      </w:pPr>
      <w:r>
        <w:t xml:space="preserve">CRH社 </w:t>
      </w:r>
    </w:p>
    <w:p w14:paraId="685DB545" w14:textId="77777777" w:rsidR="00EC5EF1" w:rsidRDefault="00EC5EF1" w:rsidP="00EC5EF1">
      <w:pPr>
        <w:pStyle w:val="ListParagraph"/>
        <w:numPr>
          <w:ilvl w:val="0"/>
          <w:numId w:val="8"/>
        </w:numPr>
      </w:pPr>
      <w:r>
        <w:t xml:space="preserve">中国建材有限公司 </w:t>
      </w:r>
    </w:p>
    <w:p w14:paraId="6E0009F4" w14:textId="77777777" w:rsidR="00EC5EF1" w:rsidRDefault="00EC5EF1" w:rsidP="00EC5EF1">
      <w:pPr>
        <w:pStyle w:val="ListParagraph"/>
        <w:numPr>
          <w:ilvl w:val="0"/>
          <w:numId w:val="8"/>
        </w:numPr>
      </w:pPr>
      <w:r>
        <w:t xml:space="preserve">ビカットグループ </w:t>
      </w:r>
    </w:p>
    <w:p w14:paraId="128AD971" w14:textId="77777777" w:rsidR="00EC5EF1" w:rsidRDefault="00EC5EF1" w:rsidP="00EC5EF1">
      <w:pPr>
        <w:pStyle w:val="ListParagraph"/>
        <w:numPr>
          <w:ilvl w:val="0"/>
          <w:numId w:val="8"/>
        </w:numPr>
      </w:pPr>
      <w:proofErr w:type="spellStart"/>
      <w:r>
        <w:t>ユーロセメントグループ</w:t>
      </w:r>
      <w:proofErr w:type="spellEnd"/>
      <w:r>
        <w:t xml:space="preserve"> </w:t>
      </w:r>
    </w:p>
    <w:p w14:paraId="73C48B01" w14:textId="77777777" w:rsidR="00EC5EF1" w:rsidRDefault="00EC5EF1" w:rsidP="00EC5EF1">
      <w:pPr>
        <w:pStyle w:val="ListParagraph"/>
        <w:numPr>
          <w:ilvl w:val="0"/>
          <w:numId w:val="8"/>
        </w:numPr>
      </w:pPr>
      <w:r>
        <w:t xml:space="preserve">ウルトラテックセメント株式会社 </w:t>
      </w:r>
    </w:p>
    <w:p w14:paraId="5615A617" w14:textId="77777777" w:rsidR="00EC5EF1" w:rsidRDefault="00EC5EF1" w:rsidP="00EC5EF1">
      <w:pPr>
        <w:pStyle w:val="ListParagraph"/>
        <w:numPr>
          <w:ilvl w:val="0"/>
          <w:numId w:val="8"/>
        </w:numPr>
      </w:pPr>
      <w:r>
        <w:lastRenderedPageBreak/>
        <w:t xml:space="preserve">マーティン・マリエッタ・マテリアルズ社 </w:t>
      </w:r>
    </w:p>
    <w:p w14:paraId="17919C98" w14:textId="77777777" w:rsidR="00EC5EF1" w:rsidRDefault="00EC5EF1" w:rsidP="00EC5EF1">
      <w:pPr>
        <w:pStyle w:val="ListParagraph"/>
        <w:numPr>
          <w:ilvl w:val="0"/>
          <w:numId w:val="8"/>
        </w:numPr>
      </w:pPr>
      <w:r>
        <w:t xml:space="preserve">サイアムセメントグループ(SCG) </w:t>
      </w:r>
    </w:p>
    <w:p w14:paraId="48313DB3" w14:textId="77777777" w:rsidR="00EC5EF1" w:rsidRDefault="00EC5EF1" w:rsidP="00EC5EF1">
      <w:pPr>
        <w:pStyle w:val="ListParagraph"/>
        <w:numPr>
          <w:ilvl w:val="0"/>
          <w:numId w:val="8"/>
        </w:numPr>
      </w:pPr>
      <w:r>
        <w:t xml:space="preserve">太平葉セメント株式会社 </w:t>
      </w:r>
    </w:p>
    <w:p w14:paraId="2418C4A3" w14:textId="77777777" w:rsidR="00EC5EF1" w:rsidRDefault="00EC5EF1" w:rsidP="00EC5EF1">
      <w:pPr>
        <w:pStyle w:val="ListParagraph"/>
        <w:numPr>
          <w:ilvl w:val="0"/>
          <w:numId w:val="8"/>
        </w:numPr>
      </w:pPr>
      <w:r>
        <w:t xml:space="preserve">Votorantim Cimentos S.A. </w:t>
      </w:r>
    </w:p>
    <w:p w14:paraId="653C5510" w14:textId="77777777" w:rsidR="00EC5EF1" w:rsidRDefault="00EC5EF1" w:rsidP="00EC5EF1">
      <w:pPr>
        <w:pStyle w:val="ListParagraph"/>
        <w:numPr>
          <w:ilvl w:val="0"/>
          <w:numId w:val="8"/>
        </w:numPr>
      </w:pPr>
      <w:r>
        <w:t xml:space="preserve">三菱マテリアル株式会社 </w:t>
      </w:r>
    </w:p>
    <w:p w14:paraId="56983B53" w14:textId="77777777" w:rsidR="00EC5EF1" w:rsidRDefault="00EC5EF1" w:rsidP="00EC5EF1">
      <w:pPr>
        <w:pStyle w:val="ListParagraph"/>
        <w:numPr>
          <w:ilvl w:val="0"/>
          <w:numId w:val="8"/>
        </w:numPr>
      </w:pPr>
      <w:r>
        <w:t xml:space="preserve">アデレード・ブライトン・リミテッド </w:t>
      </w:r>
    </w:p>
    <w:p w14:paraId="2928CA4D" w14:textId="77777777" w:rsidR="00EC5EF1" w:rsidRDefault="00EC5EF1" w:rsidP="00EC5EF1">
      <w:pPr>
        <w:pStyle w:val="ListParagraph"/>
        <w:numPr>
          <w:ilvl w:val="0"/>
          <w:numId w:val="8"/>
        </w:numPr>
      </w:pPr>
      <w:r>
        <w:t xml:space="preserve">ハンソン・リミテッド </w:t>
      </w:r>
    </w:p>
    <w:p w14:paraId="1CE5BC13" w14:textId="77777777" w:rsidR="00EC5EF1" w:rsidRDefault="00EC5EF1" w:rsidP="00EC5EF1">
      <w:pPr>
        <w:pStyle w:val="ListParagraph"/>
        <w:numPr>
          <w:ilvl w:val="0"/>
          <w:numId w:val="8"/>
        </w:numPr>
      </w:pPr>
      <w:r>
        <w:t xml:space="preserve">中国西部建設グループ株式会社 </w:t>
      </w:r>
    </w:p>
    <w:p w14:paraId="346CDF0C" w14:textId="77777777" w:rsidR="00EC5EF1" w:rsidRDefault="00EC5EF1" w:rsidP="00EC5EF1">
      <w:pPr>
        <w:pStyle w:val="ListParagraph"/>
        <w:numPr>
          <w:ilvl w:val="0"/>
          <w:numId w:val="8"/>
        </w:numPr>
      </w:pPr>
      <w:r>
        <w:t xml:space="preserve">太原ライオンヘッドセメント株式会社 </w:t>
      </w:r>
    </w:p>
    <w:p w14:paraId="76D60CB1" w14:textId="4FB5A766" w:rsidR="00EC5EF1" w:rsidRDefault="00EC5EF1" w:rsidP="00EC5EF1">
      <w:pPr>
        <w:pStyle w:val="ListParagraph"/>
        <w:numPr>
          <w:ilvl w:val="0"/>
          <w:numId w:val="8"/>
        </w:numPr>
      </w:pPr>
      <w:r>
        <w:t>ACCリミテッド</w:t>
      </w:r>
    </w:p>
    <w:p w14:paraId="363A07C5" w14:textId="6D0513D0" w:rsidR="00EC5EF1" w:rsidRPr="00EC5EF1" w:rsidRDefault="00EC5EF1" w:rsidP="00EC5EF1">
      <w:r w:rsidRPr="00EC5EF1">
        <w:t>これらのプレーヤーは</w:t>
      </w:r>
      <w:r w:rsidRPr="00EC5EF1">
        <w:rPr>
          <w:b/>
          <w:bCs/>
        </w:rPr>
        <w:t>、環境に優しいコンクリートソリューション、バッチングプラントの自動化、</w:t>
      </w:r>
      <w:r w:rsidRPr="00EC5EF1">
        <w:t>市場での存在感を強化するための戦略的提携に注力している。</w:t>
      </w:r>
    </w:p>
    <w:p w14:paraId="6B48EB9A" w14:textId="77777777" w:rsidR="00EC5EF1" w:rsidRPr="00EC5EF1" w:rsidRDefault="00EC5EF1" w:rsidP="00EC5EF1">
      <w:pPr>
        <w:rPr>
          <w:b/>
          <w:bCs/>
        </w:rPr>
      </w:pPr>
      <w:r w:rsidRPr="00EC5EF1">
        <w:rPr>
          <w:b/>
          <w:bCs/>
        </w:rPr>
        <w:t>今後の展望</w:t>
      </w:r>
    </w:p>
    <w:p w14:paraId="67836762" w14:textId="77777777" w:rsidR="00EC5EF1" w:rsidRPr="00EC5EF1" w:rsidRDefault="00EC5EF1" w:rsidP="00EC5EF1">
      <w:r w:rsidRPr="00EC5EF1">
        <w:t>生コンクリート市場</w:t>
      </w:r>
      <w:r w:rsidRPr="00EC5EF1">
        <w:rPr>
          <w:b/>
          <w:bCs/>
        </w:rPr>
        <w:t>は、建設業界が</w:t>
      </w:r>
      <w:r w:rsidRPr="00EC5EF1">
        <w:t>より迅速で、より安全で、より環境に優しい建築慣行</w:t>
      </w:r>
      <w:r w:rsidRPr="00EC5EF1">
        <w:rPr>
          <w:b/>
          <w:bCs/>
        </w:rPr>
        <w:t>に移行するにつれて、着実に成長すると予想されています</w:t>
      </w:r>
      <w:r w:rsidRPr="00EC5EF1">
        <w:t>。</w:t>
      </w:r>
      <w:r w:rsidRPr="00EC5EF1">
        <w:rPr>
          <w:b/>
          <w:bCs/>
        </w:rPr>
        <w:t>スマートシティ、メガインフラプロジェクト、工業地帯の拡大により</w:t>
      </w:r>
      <w:r w:rsidRPr="00EC5EF1">
        <w:t>、RMCは世界開発の基礎であり続けるでしょう。</w:t>
      </w:r>
    </w:p>
    <w:p w14:paraId="14C5CF4B" w14:textId="7BC5496E" w:rsidR="00EC5EF1" w:rsidRPr="00EC5EF1" w:rsidRDefault="00EC5EF1" w:rsidP="00EC5EF1">
      <w:r w:rsidRPr="00EC5EF1">
        <w:rPr>
          <w:b/>
          <w:bCs/>
        </w:rPr>
        <w:t>レポート全文はこちらから読む</w:t>
      </w:r>
      <w:r w:rsidRPr="00EC5EF1">
        <w:t xml:space="preserve">: </w:t>
      </w:r>
      <w:hyperlink r:id="rId6" w:history="1">
        <w:r w:rsidRPr="00382D9E">
          <w:rPr>
            <w:rStyle w:val="Hyperlink"/>
          </w:rPr>
          <w:t>https://www.skyquestt.com/sample-request/ready-mix-concrete-market</w:t>
        </w:r>
      </w:hyperlink>
      <w:r>
        <w:t xml:space="preserve"> </w:t>
      </w:r>
    </w:p>
    <w:p w14:paraId="446AF516" w14:textId="40A68A58"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741"/>
    <w:multiLevelType w:val="multilevel"/>
    <w:tmpl w:val="451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02005"/>
    <w:multiLevelType w:val="multilevel"/>
    <w:tmpl w:val="551C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362F7"/>
    <w:multiLevelType w:val="hybridMultilevel"/>
    <w:tmpl w:val="BAA0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83E55"/>
    <w:multiLevelType w:val="multilevel"/>
    <w:tmpl w:val="061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C76CA"/>
    <w:multiLevelType w:val="multilevel"/>
    <w:tmpl w:val="FC2A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77685"/>
    <w:multiLevelType w:val="multilevel"/>
    <w:tmpl w:val="378E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155946"/>
    <w:multiLevelType w:val="multilevel"/>
    <w:tmpl w:val="1864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2752A"/>
    <w:multiLevelType w:val="hybridMultilevel"/>
    <w:tmpl w:val="4138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B5C72"/>
    <w:multiLevelType w:val="multilevel"/>
    <w:tmpl w:val="8454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602335"/>
    <w:multiLevelType w:val="hybridMultilevel"/>
    <w:tmpl w:val="D2D8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761217">
    <w:abstractNumId w:val="5"/>
  </w:num>
  <w:num w:numId="2" w16cid:durableId="2066446321">
    <w:abstractNumId w:val="4"/>
  </w:num>
  <w:num w:numId="3" w16cid:durableId="194345975">
    <w:abstractNumId w:val="1"/>
  </w:num>
  <w:num w:numId="4" w16cid:durableId="231044028">
    <w:abstractNumId w:val="0"/>
  </w:num>
  <w:num w:numId="5" w16cid:durableId="1276017280">
    <w:abstractNumId w:val="3"/>
  </w:num>
  <w:num w:numId="6" w16cid:durableId="614092707">
    <w:abstractNumId w:val="6"/>
  </w:num>
  <w:num w:numId="7" w16cid:durableId="190805594">
    <w:abstractNumId w:val="8"/>
  </w:num>
  <w:num w:numId="8" w16cid:durableId="347953220">
    <w:abstractNumId w:val="9"/>
  </w:num>
  <w:num w:numId="9" w16cid:durableId="76363638">
    <w:abstractNumId w:val="7"/>
  </w:num>
  <w:num w:numId="10" w16cid:durableId="434205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F1"/>
    <w:rsid w:val="001D01DB"/>
    <w:rsid w:val="00274CDA"/>
    <w:rsid w:val="004D40C5"/>
    <w:rsid w:val="004E62EA"/>
    <w:rsid w:val="005775BD"/>
    <w:rsid w:val="00B171FA"/>
    <w:rsid w:val="00B354D8"/>
    <w:rsid w:val="00BB68BD"/>
    <w:rsid w:val="00C15B33"/>
    <w:rsid w:val="00EC5EF1"/>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C704"/>
  <w15:chartTrackingRefBased/>
  <w15:docId w15:val="{66744E19-EDB9-4A2C-A6E7-E289E564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E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E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E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E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E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E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E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E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E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E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EF1"/>
    <w:rPr>
      <w:rFonts w:eastAsiaTheme="majorEastAsia" w:cstheme="majorBidi"/>
      <w:color w:val="272727" w:themeColor="text1" w:themeTint="D8"/>
    </w:rPr>
  </w:style>
  <w:style w:type="paragraph" w:styleId="Title">
    <w:name w:val="Title"/>
    <w:basedOn w:val="Normal"/>
    <w:next w:val="Normal"/>
    <w:link w:val="TitleChar"/>
    <w:uiPriority w:val="10"/>
    <w:qFormat/>
    <w:rsid w:val="00EC5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EF1"/>
    <w:pPr>
      <w:spacing w:before="160"/>
      <w:jc w:val="center"/>
    </w:pPr>
    <w:rPr>
      <w:i/>
      <w:iCs/>
      <w:color w:val="404040" w:themeColor="text1" w:themeTint="BF"/>
    </w:rPr>
  </w:style>
  <w:style w:type="character" w:customStyle="1" w:styleId="QuoteChar">
    <w:name w:val="Quote Char"/>
    <w:basedOn w:val="DefaultParagraphFont"/>
    <w:link w:val="Quote"/>
    <w:uiPriority w:val="29"/>
    <w:rsid w:val="00EC5EF1"/>
    <w:rPr>
      <w:i/>
      <w:iCs/>
      <w:color w:val="404040" w:themeColor="text1" w:themeTint="BF"/>
    </w:rPr>
  </w:style>
  <w:style w:type="paragraph" w:styleId="ListParagraph">
    <w:name w:val="List Paragraph"/>
    <w:basedOn w:val="Normal"/>
    <w:uiPriority w:val="34"/>
    <w:qFormat/>
    <w:rsid w:val="00EC5EF1"/>
    <w:pPr>
      <w:ind w:left="720"/>
      <w:contextualSpacing/>
    </w:pPr>
  </w:style>
  <w:style w:type="character" w:styleId="IntenseEmphasis">
    <w:name w:val="Intense Emphasis"/>
    <w:basedOn w:val="DefaultParagraphFont"/>
    <w:uiPriority w:val="21"/>
    <w:qFormat/>
    <w:rsid w:val="00EC5EF1"/>
    <w:rPr>
      <w:i/>
      <w:iCs/>
      <w:color w:val="2F5496" w:themeColor="accent1" w:themeShade="BF"/>
    </w:rPr>
  </w:style>
  <w:style w:type="paragraph" w:styleId="IntenseQuote">
    <w:name w:val="Intense Quote"/>
    <w:basedOn w:val="Normal"/>
    <w:next w:val="Normal"/>
    <w:link w:val="IntenseQuoteChar"/>
    <w:uiPriority w:val="30"/>
    <w:qFormat/>
    <w:rsid w:val="00EC5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EF1"/>
    <w:rPr>
      <w:i/>
      <w:iCs/>
      <w:color w:val="2F5496" w:themeColor="accent1" w:themeShade="BF"/>
    </w:rPr>
  </w:style>
  <w:style w:type="character" w:styleId="IntenseReference">
    <w:name w:val="Intense Reference"/>
    <w:basedOn w:val="DefaultParagraphFont"/>
    <w:uiPriority w:val="32"/>
    <w:qFormat/>
    <w:rsid w:val="00EC5EF1"/>
    <w:rPr>
      <w:b/>
      <w:bCs/>
      <w:smallCaps/>
      <w:color w:val="2F5496" w:themeColor="accent1" w:themeShade="BF"/>
      <w:spacing w:val="5"/>
    </w:rPr>
  </w:style>
  <w:style w:type="character" w:styleId="Hyperlink">
    <w:name w:val="Hyperlink"/>
    <w:basedOn w:val="DefaultParagraphFont"/>
    <w:uiPriority w:val="99"/>
    <w:unhideWhenUsed/>
    <w:rsid w:val="00EC5EF1"/>
    <w:rPr>
      <w:color w:val="0563C1" w:themeColor="hyperlink"/>
      <w:u w:val="single"/>
    </w:rPr>
  </w:style>
  <w:style w:type="character" w:styleId="UnresolvedMention">
    <w:name w:val="Unresolved Mention"/>
    <w:basedOn w:val="DefaultParagraphFont"/>
    <w:uiPriority w:val="99"/>
    <w:semiHidden/>
    <w:unhideWhenUsed/>
    <w:rsid w:val="00EC5EF1"/>
    <w:rPr>
      <w:color w:val="605E5C"/>
      <w:shd w:val="clear" w:color="auto" w:fill="E1DFDD"/>
    </w:rPr>
  </w:style>
  <w:style w:type="character" w:styleId="PlaceholderText">
    <w:name w:val="Placeholder Text"/>
    <w:basedOn w:val="DefaultParagraphFont"/>
    <w:uiPriority w:val="99"/>
    <w:semiHidden/>
    <w:rsid w:val="004E62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ready-mix-concrete-market" TargetMode="External"/><Relationship Id="rId5" Type="http://schemas.openxmlformats.org/officeDocument/2006/relationships/hyperlink" Target="https://www.skyquestt.com/sample-request/ready-mix-concrete-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2025-08-29T04:52:00Z</dcterms:created>
  <dcterms:modified xsi:type="dcterms:W3CDTF">2025-08-29T05:04:00Z</dcterms:modified>
</cp:coreProperties>
</file>